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ATAS/431/2021 vom 10. Mai 2021</w:t>
      </w:r>
    </w:p>
    <w:p>
      <w:r>
        <w:t>GE Cour de justice, 2021-05-10, FR</w:t>
      </w:r>
    </w:p>
    <w:p>
      <w:r>
        <w:rPr>
          <w:b/>
        </w:rPr>
        <w:t xml:space="preserve">Quelle: </w:t>
      </w:r>
      <w:r>
        <w:t>https://mcp.opencaselaw.ch/entscheid/ge_gerichte_ATAS_431_2021</w:t>
      </w:r>
    </w:p>
    <w:p>
      <w:r>
        <w:t>FR: GE_GERICHTE ATAS/431/2021 du 10 mai 2021</w:t>
      </w:r>
    </w:p>
    <w:p>
      <w:r>
        <w:t>IT: GE_GERICHTE ATAS/431/2021 del 10 maggio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A/984/2019 - 25/40 -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83 LPGA).</w:t>
      </w:r>
    </w:p>
    <w:p>
      <w:r>
        <w:rPr>
          <w:b/>
        </w:rPr>
        <w:t>E. 4</w:t>
      </w:r>
    </w:p>
    <w:p>
      <w:r>
        <w:t>Le litige porte sur le droit de la recourante à une rente, singulièrement sur son degré d’invalidité.</w:t>
      </w:r>
    </w:p>
    <w:p>
      <w:r>
        <w:rPr>
          <w:b/>
        </w:rPr>
        <w:t>E. 5</w:t>
      </w:r>
    </w:p>
    <w:p>
      <w:r>
        <w:t>Aux termes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6</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ATF 141 V 281 consid. 2.1 et 2.1.1 ; ATF 130 V 396 consid. 5.3 et 6). b. Le diagnostic d'un trouble douloureux somatoforme doit être justifié médicalement de telle manière que les personnes chargées d’appliquer le droit</w:t>
      </w:r>
    </w:p>
    <w:p>
      <w:r>
        <w:t>A/984/2019 - 26/40 -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La reconnaissance de l'existence de troubles somatoformes douloureux persistants suppose d'abord la présence d'un diagnostic émanant d'un expert (psychiatre) et s'appuyant lege artis sur les critères d'un système de classification reconnu (ATF 130 V 396 consid. 5.3). c. Le diagnostic de fibromyalgie, qui est d’abord le fait d’un médecin rhumatologue, doit s’appuyer lege artis sur les critères d’un système de classification reconnu (ATF 132 V 65 consid. 3.4 et 4.3 ; arrêt du Tribunal fédéral 9C_430/2009 du 27 novembre 2009 consid. 3.4 ; arrêt du Tribunal fédéral des assurances I 134/05 du 13 mars 2006 consid. 3.2.1.3 et 3.2.2.3).</w:t>
      </w:r>
    </w:p>
    <w:p>
      <w:r>
        <w:rPr>
          <w:b/>
        </w:rPr>
        <w:t>E. 7</w:t>
      </w:r>
    </w:p>
    <w:p>
      <w:r>
        <w:t>a. S’agissant du caractère invalidant d’un trouble somatoforme douloureux,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w:t>
      </w:r>
    </w:p>
    <w:p>
      <w:r>
        <w:t>A/984/2019 - 27/40 - b.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w:t>
      </w:r>
    </w:p>
    <w:p>
      <w:r>
        <w:t>A/984/2019 - 28/40 - (cf. consid. 4.3.1.2 ;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À l’ATF 143 V 418, le Tribunal fédéral a examiné dans quelle mesure des troubles psychiques en tant que comorbidités d'un trouble somatoforme douloureux, doivent être pris en considération pour examiner le caractère invalidant du trouble somatoforme douloureux. Il a précisé que même si ces troubles psychiques, pris séparément, ne sont pas invalidants en application de la nouvelle jurisprudence publiée aux ATF 141 V 281, ils sont relevants dans l'appréciation globale de la capacité de travail d'une personne atteinte d'un trouble somatoforme douloureux. En effet, cette appréciation doit tenir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Des ressources préservées ne sauraient être inférées de relations maintenues avec certains membres de la famille dont la personne assurée est dépendante (arrêt du Tribunal fédéral 9C_55/2020 du 22 octobre 2020 consid. 5.2).</w:t>
      </w:r>
    </w:p>
    <w:p>
      <w:r>
        <w:t>A/984/2019 - 29/40 -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 ATF 137 V 64 consid. 1.2 in fine).</w:t>
      </w:r>
    </w:p>
    <w:p>
      <w:r>
        <w:rPr>
          <w:b/>
        </w:rPr>
        <w:t>E. 8</w:t>
      </w:r>
    </w:p>
    <w:p>
      <w:r>
        <w:t>a.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leurs les estimations et</w:t>
      </w:r>
    </w:p>
    <w:p>
      <w:r>
        <w:t>A/984/2019 - 30/40 -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 648/03 du 18 septembre 2004 consid. 5.1.3 et 5.1.4). b. Les principes jurisprudentiels développés en matière de troubles somatoformes douloureux sont également applicables à la fibromyalgie (ATF 132 V 65 consid. 4.1),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n’est plus du tout ou seulement partiellement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 arrêt du Tribunal fédéral des assurances I 652/04 du 3 avril 2006 consid. 2.3). c.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w:t>
      </w:r>
    </w:p>
    <w:p>
      <w:r>
        <w:t>A/984/2019 - 31/40 - le cas, la preuve d'une limitation de la capacité de travail invalidante n'est pas rapportée et l'absence de preuve doit être supportée par la personne concernée.</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w:t>
      </w:r>
    </w:p>
    <w:p>
      <w:r>
        <w:t>A/984/2019 - 32/40 -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 arrêt du Tribunal fédéral 9C_301/2013 du 4 septembre 2013 consid. 3).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arrêt du Tribunal fédéral des assurances I 244/05 du 3 mai 2006 consid. 2.1).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t>A/984/2019 - 33/40 -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11</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quand</w:t>
      </w:r>
    </w:p>
    <w:p>
      <w:r>
        <w:t>A/984/2019 - 34/40 -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Lorsqu’une expertise ne permet pas une appréciation concluante du cas à l'aune des indicateurs déterminants développés par la nouvelle jurisprudence en lien avec les troubles somatoformes douloureux et d’autres syndromes somatiques dont l'étiologie est incertaine, un renvoi à l’administration pour instruction complémentaire et nouvelle décision est possible (arrêt du Tribunal fédéral 8C_219/2015 du 12 octobre 2015 consid. 5.4).</w:t>
      </w:r>
    </w:p>
    <w:p>
      <w:r>
        <w:rPr>
          <w:b/>
        </w:rPr>
        <w:t>E. 12</w:t>
      </w:r>
    </w:p>
    <w:p>
      <w:r>
        <w:t>En l’espèce, dans sa décision litigieuse du 27 février 2019, l’intimé a retenu que la recourante disposait d’une capacité de travail entière dans une activité adaptée à ses limitations fonctionnelles, avec une diminution de rendement de 30%. Cette appréciation est basée sur les avis du SMR, eux-mêmes fondés sur le rapport d’examen du SMR réalisé par le Dr U_______ et la Dresse V_______, ainsi que sur le rapport d’expertise du Dr Y_______.</w:t>
      </w:r>
    </w:p>
    <w:p>
      <w:r>
        <w:rPr>
          <w:b/>
        </w:rPr>
        <w:t>E. 13</w:t>
      </w:r>
    </w:p>
    <w:p>
      <w:r>
        <w:t>a. Compte tenu des diagnostics de fibromyalgie et de trouble de la personnalité retenus par les médecins du SMR, la chambre de céans rappellera à titre liminaire qu’il y a lieu, depuis l’arrêt du 3 juin 2015, d’examiner si les répercussions fonctionnelles de l’atteinte à la santé constatée médicalement sont prouvées de manière définitive et sans contradiction avec une vraisemblance (au moins) prépondérante au moyen des indicateurs standard. b. Le Dr U_______ et la Dresse V_______ ont présenté une première version de leur rapport le 8 décembre 2015, laquelle ne figure pas au dossier de l’intimé. Cette version a été considérée comme insuffisamment claire sur certains points, en particulier sur la capacité résiduelle de travail, et comme ne répondant pas aux indicateurs développés par la jurisprudence (cf. avis du 14 janvier 2016 de la Dresse T_______). Les examinateurs ont alors rendu un second rapport, daté du 9 février 2016 et remplaçant celui du 8 décembre 2015.</w:t>
      </w:r>
    </w:p>
    <w:p>
      <w:r>
        <w:rPr>
          <w:b/>
        </w:rPr>
        <w:t>E. 14</w:t>
      </w:r>
    </w:p>
    <w:p>
      <w:r>
        <w:t>a. La chambre de céans constate d’emblée que cette nouvelle version ne permet pas non plus une appréciation concluante du cas en regard des critères jurisprudentiels. b. En effet, les examinateurs du SMR se sont contentés d’affirmer que la fibromyalgie n’entrainait aucune incapacité de travail car la recourante avait les ressources pour s’occuper de ses soins corporels et de l’hygiène, gardait des contacts avec son entourage et ses amis, sortait le chien et faisait avec ce dernier de longues balades. Elle ne bénéficiait d’aucune prise en charge psychiatrique, disposait de bonnes capacités d’adaptation, décrivait une vie normale et sa dépendance à ses parents, qui l’aidaient en toute circonstance, résultait d’un choix</w:t>
      </w:r>
    </w:p>
    <w:p>
      <w:r>
        <w:t>A/984/2019 - 35/40 - personnel. Ils ont estimé que l’intéressée conservait des ressources personnelles dans les activités de la vie quotidienne qui lui permettraient de vivre seule de façon autonome. En l'absence de tout exemple et de toute argumentation, les constatations des examinateurs s'apparentent en réalité à de succinctes conclusions, dépourvues de motivation. Les médecins auraient dû procéder à une analyse détaillée des facteurs extérieurs incapacitants et des ressources de compensation de la recourante, indiquer si et dans quelle mesure cette dernière disposait des ressources psychiques lui permettant de surmonter ses douleurs, et livrer une appréciation consensuelle du cas s’agissant de toutes les problématiques ayant des interférences entre elles, notamment concernant la capacité de travail résiduelle. c. La chambre de céans relèvera encore que leur appréciation est difficilement compréhensible au vu du descriptif des activités quotidiennes. Ainsi, les médecins ont noté que la recourante se levait le matin, buvait un café et fumait, puis sortait le chien « dans le jardin », lisait « à la maison » et travaillait un peu sur l’ordinateur. L’après-midi, en fonction de son état, elle faisait une sieste puis de « longues » balades avec son chien, tous les jours si son état de santé le lui permettait, sinon « quelques fois » par semaine. Aucun loisir n’est mentionné et il est précisé que la recourante déclarait ne pas pouvoir regarder la télévision et ne pas s’occuper des tâches ménagères. Une telle journée-type ne saurait être qualifiée de « normale ». De plus, l’intéressée a expressément indiqué à l’intimé que les douleurs et symptômes présentés, dont une hyperacousie, une fatigue et des douleurs chroniques, des maux de tête et des troubles de la concentration, avaient un impact sur son quotidien, ajoutant qu’elle ne pouvait pas sortir dans des endroits un tant soit peu bruyants sans porter un casque de protection. Dans le même sens, elle a écrit aux examinateurs le 20 novembre 2015, soit avant que ceux-ci ne rendent leur premier rapport, qu’elle cherchait « à guérir et à pouvoir reprendre une vie aussi normale que possible », qu’elle n’était pratiquement pas sortie de la maison durant ses dernières vacances en Grèce à cause du bruit. Tous ces éléments n’ont pas été pris en considération dans le rapport d’examen. En ce qui concerne les contacts sociaux, les examinateurs ont uniquement indiqué que l’intéressée avait des amis et des connaissances qu’elle voyait « régulièrement », avec lesquels elle discutait ou partageait un repas à la maison. Le rapport du SMR ne contient aucune précision quant au cercle amical de l’intéressée, quant à la nature et la fréquence de ses différents contacts sociaux, de sorte que ses conclusions selon lesquelles la recourante aurait une « vie sociale normale » ne sont pas convaincantes. En effet, dans son courrier du 20 novembre 2015 adressé aux examinateurs, l’intéressée a par exemple déclaré que le repas organisé par ses parents pour ses 40 ans avait dû être annulé, qu’elle devait souvent couper court à des conversations téléphoniques avec des amis ou refuser leurs appels, ou qu’elle n’avait pas vu sa filleule depuis des mois. Dans un document joint à son courrier du</w:t>
      </w:r>
    </w:p>
    <w:p>
      <w:r>
        <w:t>A/984/2019 - 36/40 - 24 mai 2018, elle a encore précisé qu’elle avait dû renoncer à assister à plusieurs mariages et à un baptême d’être chers. S’agissant de l’autonomie de l’intéressée, les médecins ont relaté qu’elle n’effectuait pas les tâches ménagères, hormis la cuisine « parfois » et les courses avec ses parents « de temps en temps ». Ils ne semblent pas avoir interrogé l'intéressée sur les raisons de son manque de participation aux travaux domestiques, puisque leur rapport ne contient aucune indication à ce propos, mais ils ont considéré que la recourante serait apte à vivre seule de manière autonome et que sa dépendance vis-à-vis de ses parents était volontaire. Cette estimation va à l’encontre des déclarations de l’intéressée, qui a notamment écrit dans son courrier du 18 février 2015 qu’elle avait été contrainte de retourner vivre chez ses parents par manque d’autonomie puisqu’elle ne parvenait plus à réaliser du tout ou seulement difficilement certaines tâches, ajoutant dans sa missive du 20 novembre 2015 qu’elle avait vécu seule à partir de ses 18 ans, hormis entre deux déménagements ou lors de « crises » trop violentes. Dans le document joint à sa lettre du 24 mai 2018, elle a mentionné qu’elle avait de la peine à porter des casseroles lourdes, à éplucher des légumes ou encore à ouvrir des bocaux. De telles plaintes ne ressortent pas du rapport d’examen du SMR. Les examinateurs n’ont pas expliqué non plus ce qui leur avait permis de retenir que la recourante disposait de bonnes capacités d’adaptation. On cherche en vain des exemples dans leur rapport, étant rappelé que la recourante n’a exercé aucune activité depuis 2012 et que son quotidien semble se résumer depuis lors à rester enfermée au domicile parental et à se promener une fois par jour avec son chien si elle le peut.</w:t>
      </w:r>
    </w:p>
    <w:p>
      <w:r>
        <w:rPr>
          <w:b/>
        </w:rPr>
        <w:t>E. 15</w:t>
      </w:r>
    </w:p>
    <w:p>
      <w:r>
        <w:t>Partant, le rapport d’examen du SMR ne permet pas de tirer des conclusions quant à la capacité de travail exigible de la recourante, eu égard aux indicateurs développés par la jurisprudence.</w:t>
      </w:r>
    </w:p>
    <w:p>
      <w:r>
        <w:rPr>
          <w:b/>
        </w:rPr>
        <w:t>E. 16</w:t>
      </w:r>
    </w:p>
    <w:p>
      <w:r>
        <w:t>a. La chambre de céans relèvera encore que les diagnostics retenus par le Dr U_______ et la Dresse V_______ ne sauraient à ce stade être considérés comme établis. b. Si les examinateurs ont bien expliqué que la fibromyalgie était confirmée par plusieurs critères, dont les points décrits par Smythe et d’autres plus récents, leur motivation est laconique concernant d’autres atteintes pouvant également entrer en considération. Ils ont en effet indiqué qu’ils n’avaient pas objectivé de symptômes en faveur d’un syndrome douloureux somatoforme persistant ou d’une majoration de symptômes physiques pour des raisons psychologiques. Ils se sont contentés d’affirmer que la recourante présentait une amplification des plaintes, qui n’était pas accompagnée d’un sentiment de détresse, ni d’un comportement algique, sans développer davantage leur argumentation. Cette explication est manifestement insuffisante pour écarter le diagnostic différentiel de trouble douloureux somatoforme, lequel</w:t>
      </w:r>
    </w:p>
    <w:p>
      <w:r>
        <w:t>A/984/2019 - 37/40 - est caractérisé par une douleur intense et persistante accompagnée d'un sentiment de détresse. En effet, il est rappelé, d’une part, les douleurs persistantes et importantes rapportées par la recourante depuis 2012, qui l’ont conduite à de nombreuses consultations spécialisées et investigations, et d’autre part, la constatation d’un état anxio-dépressif ou dépressif (cf. rapports du 15 mai 2014 du Dr L_______, du 7 août 2014 de la Dresse P_______, du 6 mars 2015 du Dr C_______, des 30 mars 2015 et 13 mars 2017 du Dr Q_______), qui a incité la plupart des médecins consultés à préconiser un suivi psychologique. La recourante elle-même a indiqué dans plusieurs de ses correspondances que ses troubles et leurs conséquences sur sa vie quotidienne avaient des répercussions sur son état de santé psychique, et s’est dite « dépressive et nerveuse » lors de son examen au SMR. Dans ces circonstances, les examinateurs se devaient de discuter de façon approfondie les diagnostics différentiels, ce d’autant plus que leur rapport est le seul à faire état d’une fibromyalgie et que la Dresse V_______ est l’unique spécialiste en psychiatrie à avoir examiné la recourante. c. Le rhumatologue a diagnostiqué des cervico-scapulalgies bilatérales, sans déficit neurologique, sur des troubles statiques (rigidité du segment C2-C4) et dégénératifs (protrusions discales C5-C6 et C6-C7 à prédominance droite), diagnostics qui paraissent peu précis au vu des pièces du dossier, voire incomplets. À titre d’exemples, il est rappelé que l’IRM de juillet 2011 a révélé une progression de la dessiccation du disque C2 à C7 (cf. rapport du 20 juillet 2011 de la Dresse K_______) et que les radiographies de 2013 ont mis en exergue des signes de calcification antérieure du disque intervertébral C5-C6 (cf. rapports du 4 novembre 2013 de la Dresse K_______). Or, ces troubles n’ont pas été repris par le Dr U_______ dans ses diagnostics. On relèvera également que l’examinateur du SMR a constaté que les segments C2-C4 et C4-C7 étaient peu mobiles, mais qu’il n’a rappelé que le premier segment dans ses diagnostics. d. L’hyperacousie diagnostiquée par un spécialiste en ORL (cf. rapport du 2 mai 2014 du Dr O_______) n’est pas non plus mentionnée par les examinateurs du SMR, alors que ce trouble concernait une des principales plaintes de la recourante. e. Le diagnostic de personnalité émotionnellement labile type borderline (F.60.31), non décompensée, n’a pas fait l’objet d’une réelle argumentation. La psychiatre n’a en particulier pas discuté les critères cliniques permettant de conclure à un tel trouble. Elle s’est contentée de noter, au status, que la recourante était labile, facilement irritable, par moments tendue, instable et très immature, qu’elle avait des capacités d’anticipation réduites, une mauvaise image de soi, un sentiment de vide et une tendance à la manipulation. Elle n’a livré aucun exemple à l’appui de ses « constatations » et rien dans le rapport d’examen ne vient conforter de tels éléments. Les anamnèses (personnelle, familiale, professionnelle, psychosociale), ainsi que le résumé du quotidien, ne contiennent pas la moindre</w:t>
      </w:r>
    </w:p>
    <w:p>
      <w:r>
        <w:t>A/984/2019 - 38/40 - information pertinente aux niveaux relationnel et comportemental. Les rapports affectifs, amicaux et professionnels n’ont pas du tout été décrits. L’examinatrice a noté qu’il ne s’agissait pas d’un trouble « grave ayant valeur de maladie », qui supposait des antécédents psychiatriques significatifs remontant à la fin de la deuxième dizaine d’années de vie. Cette justification quant au degré de gravité apparaît insuffisante, ce d’autant plus que les « ouvrages diagnostiques de référence » ne sont pas du tout cités. De surcroît, elle paraît discutable, compte tenu des lacunes anamnestiques. En définitive, le rapport d’examen ne contient aucun élément permettant d’apprécier l’intensité du diagnostic psychiatrique retenu par la Dresse V_______. f. La psychiatre a indiqué que son examen clinique n’avait pas montré de « dépression majeure » ou d’« anxiété généralisée », sans aucune motivation. Il est incompréhensible que la spécialiste n’ait pas procédé à une analyse des critères diagnostiques de la dépression et de l’anxiété, ni n’ait eu recours aux échelles principales d’évaluation. Un examen minutieux s’imposait pourtant puisque la plupart des médecins consultés ont conclu à un état anxio-dépressif ou dépressif, et relaté de nombreux symptômes, dont une thymie triste, une perte de l’élan vital, une importante fatigue, une perte de poids de 10 kg, des difficultés de concentration et de mémoire.</w:t>
      </w:r>
    </w:p>
    <w:p>
      <w:r>
        <w:rPr>
          <w:b/>
        </w:rPr>
        <w:t>E. 17</w:t>
      </w:r>
    </w:p>
    <w:p>
      <w:r>
        <w:t>En ce qui concerne le rapport d’expertise du 12 novembre 2018 du Dr Y_______, ce dernier a dûment motivé les raisons pour lesquelles il écartait le diagnostic de maladie de Lyme. Cela étant, son analyse concernant d’éventuelles autres maladies infectieuses est peu développée. Il a pour l’essentiel expliqué que la positivité des sérologies ne reflétait pas une infection active mais « possiblement » une « immunité acquise ancienne » contre ces pathogènes. Il a en outre relevé que certains résultats étaient ininterprétables, et il ne s’est pas prononcé sur les allégations de taux toxiques de certains métaux lourds, ajoutant qu’un bilan toxicologique pourrait être utile afin d’en valider le contenu. Enfin, son rapport date de plus de deux ans et demi et la recourante, qui en conteste les conclusions, s’est depuis lors soumise à de nouveaux examens.</w:t>
      </w:r>
    </w:p>
    <w:p>
      <w:r>
        <w:rPr>
          <w:b/>
        </w:rPr>
        <w:t>E. 18</w:t>
      </w:r>
    </w:p>
    <w:p>
      <w:r>
        <w:t>Eu égard à tout ce qui précède, une instruction complémentaire se révèle indispensable. Compte tenu des lacunes du rapport d’examen du SMR, il se justifie de renvoyer la cause à l’intimé pour mise en œuvre d’une expertise bidisciplinaire, comportant des volets en psychiatrie et rhumatologie. Cas échéant, il incombera aux experts de solliciter des avis complémentaires auprès d’autres spécialistes, notamment en neurologie, ORL, infectiologie, et de compléter</w:t>
      </w:r>
    </w:p>
    <w:p>
      <w:r>
        <w:t>A/984/2019 - 39/40 - leur évaluation par un examen neuropsychologique, vu les troubles cognitifs allégués. Il est essentiel que les experts se déterminent sur la gravité et l'impact d'une éventuelle atteinte psychique, d’une fibromyalgie ou d'un trouble somatoforme douloureux, avec une évaluation consensuelle permettant d'intégrer les éléments psychiques et somatiques. Ils devront se prononcer sur la capacité de travail globale, eu égard aux critères énoncés par la jurisprudence.</w:t>
      </w:r>
    </w:p>
    <w:p>
      <w:r>
        <w:rPr>
          <w:b/>
        </w:rPr>
        <w:t>E. 19</w:t>
      </w:r>
    </w:p>
    <w:p>
      <w:r>
        <w:t>Par conséquent, le recours sera partiellement admis, la décision du 27 février 2019 annulée et la cause renvoyée à l’intimé pour instruction complémentaire au sens des considérants, puis nouvelle décision.</w:t>
      </w:r>
    </w:p>
    <w:p>
      <w:r>
        <w:rPr>
          <w:b/>
        </w:rPr>
        <w:t>E. 20</w:t>
      </w:r>
    </w:p>
    <w:p>
      <w:r>
        <w:t>La recourante obtenant partiellement gain de cause, une indemnité de CHF 2'500.-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1bis LAI).</w:t>
      </w:r>
    </w:p>
    <w:p>
      <w:r>
        <w:t>A/984/2019 - 40/40 -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