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ATAS/431/2016 vom 1. Juni 2016</w:t>
      </w:r>
    </w:p>
    <w:p>
      <w:r>
        <w:t>GE Cour de justice, 2016-06-01, FR</w:t>
      </w:r>
    </w:p>
    <w:p>
      <w:r>
        <w:rPr>
          <w:b/>
        </w:rPr>
        <w:t xml:space="preserve">Quelle: </w:t>
      </w:r>
      <w:r>
        <w:t>https://mcp.opencaselaw.ch/entscheid/ge_gerichte_ATAS_431_2016</w:t>
      </w:r>
    </w:p>
    <w:p>
      <w:r>
        <w:t>FR: GE_GERICHTE ATAS/431/2016 du 1 juin 2016</w:t>
      </w:r>
    </w:p>
    <w:p>
      <w:r>
        <w:t>IT: GE_GERICHTE ATAS/431/2016 del 1 giugno 2016</w:t>
      </w:r>
    </w:p>
    <w:p>
      <w:pPr>
        <w:pStyle w:val="Heading2"/>
      </w:pPr>
      <w:r>
        <w:t>Erwägungen</w:t>
      </w:r>
    </w:p>
    <w:p>
      <w:r>
        <w:rPr>
          <w:b/>
        </w:rPr>
        <w:t>E. 1</w:t>
      </w:r>
    </w:p>
    <w:p>
      <w:r>
        <w:t>a.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Il n’est pas non plus prétendu par la recourante ni ne ressort du dossier que les nouveaux calculs du droit de cette dernière aux prestations complémentaires seraient erronés, compte tenu d’une part dudit bien immobilier (qu’il y a bien lieu de retenir pour une valeur de € 26'620.-) et du produit de la fortune immobilière et</w:t>
      </w:r>
    </w:p>
    <w:p>
      <w:r>
        <w:t>A/3779/2015 - 10/12 - d’autre part des autres éléments initialement contestés mais non litigieux au stade du présent recours du compte bancaire italien et de la rente italienne de la recourante. Aussi doit-il être admis que la recourante aurait dû percevoir, du 1er avril 2008 au 30 novembre 2014, un total de PCF et de PCC de CHF 60'630.-. Dès lors qu’elle en a perçu, pour cette même période, un total (incontesté) de CHF 83'481.-, c’est bien un trop-perçu de CHF 22'851.- qui en résulte.</w:t>
      </w:r>
    </w:p>
    <w:p>
      <w:r>
        <w:rPr>
          <w:b/>
        </w:rPr>
        <w:t>E. 7</w:t>
      </w:r>
    </w:p>
    <w:p>
      <w:r>
        <w:t>a. Dans la mesure où le trop-perçu l’a été en exécution de décisions entrées en force, sa restitution ne peut être exigée qu’en présence d’un motif de révision ou de reconsidération de ces dernières, au sens de l’art. 53 al. 1 et 2 LPGA. En effet,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(ATAS/1118/2014 du 4 novembre 2014 consid. 3b). b.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121 V 4 consid. 6 et les arrêts cités). c. En l’espèce, c’est à l’occasion d’un contrôle périodique du dossier de la recourante que l’intimé a découvert que cette dernière avait, depuis plusieurs années, des revenus et un élément de fortune qu’elle ne lui avait pas déclarés, ayant au surplus une incidence importante sur le calcul de son droit aux prestations complémentaires. Il ne fait pas de doute que ces faits nouveaux représentaient un motif de révision des décisions en vertu desquelles des prestations complémentaires s’avérant trop élevées lui avaient été versées ; l’intimé était tenue de réviser ces</w:t>
      </w:r>
    </w:p>
    <w:p>
      <w:r>
        <w:t>A/3779/2015 - 11/12 - décisions. Au demeurant, ces décisions étaient manifestement erronées en l’absence de prise en compte des revenus et éléments de fortune considérés, et leur rectification revêtait une importance notable ; l’intimé avait donc en tout état la faculté de les reconsidérer.</w:t>
      </w:r>
    </w:p>
    <w:p>
      <w:r>
        <w:rPr>
          <w:b/>
        </w:rPr>
        <w:t>E. 8</w:t>
      </w:r>
    </w:p>
    <w:p>
      <w:r>
        <w:t>a. Le recours est mal fondé. Il doit être rejeté dans la mesure de sa recevabilité. Il est rappelé qu’ainsi qu’il l’a lui-même indiqué dans sa réponse au recours, l’intimé va encore instruire la demande qu’a présentée la recourante que l’obligation de restituer la somme de CHF 22'851.- lui soit remise et rendre une décision sur cette demande (consid. 2b). b. La procédure est gratuite (art. 61 let. a LPGA ; art. 89 al. 1 LPA). * * * * * *</w:t>
      </w:r>
    </w:p>
    <w:p>
      <w:r>
        <w:t>A/3779/2015 - 12/12 - PAR CES MOTIFS, LA CHAMBRE DES ASSURANCES SOCIALES : Statuant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