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ATAS/430/2019 vom 15. Mai 2019</w:t>
      </w:r>
    </w:p>
    <w:p>
      <w:r>
        <w:t>GE Cour de justice, 2019-05-15, FR</w:t>
      </w:r>
    </w:p>
    <w:p>
      <w:r>
        <w:rPr>
          <w:b/>
        </w:rPr>
        <w:t xml:space="preserve">Quelle: </w:t>
      </w:r>
      <w:r>
        <w:t>https://mcp.opencaselaw.ch/entscheid/ge_gerichte_ATAS_430_2019</w:t>
      </w:r>
    </w:p>
    <w:p>
      <w:r>
        <w:t>FR: GE_GERICHTE ATAS/430/2019 du 15 mai 2019</w:t>
      </w:r>
    </w:p>
    <w:p>
      <w:r>
        <w:t>IT: GE_GERICHTE ATAS/430/2019 del 15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w:t>
      </w:r>
    </w:p>
    <w:p>
      <w:r>
        <w:t>A/1607/2018 - 5/9 -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(ci-après PCF) à moins que la LPC n’y déroge expressément (art. 1 al. 1 LPC). En matière de prestations complémentaires cantonales (ci-après PCC),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w:t>
      </w:r>
    </w:p>
    <w:p>
      <w:r>
        <w:rPr>
          <w:b/>
        </w:rPr>
        <w:t>E. 4</w:t>
      </w:r>
    </w:p>
    <w:p>
      <w:r>
        <w:t>Le litige porte sur le bien-fondé de la demande de restitution du SPC suite au recalcul des prestations en prenant en compte le capital de libre passage de l’épouse du recourant dès le 1er février 2012.</w:t>
      </w:r>
    </w:p>
    <w:p>
      <w:r>
        <w:rPr>
          <w:b/>
        </w:rPr>
        <w:t>E. 5</w:t>
      </w:r>
    </w:p>
    <w:p>
      <w:r>
        <w:t>S’agissant des PCF,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al. 1 LPC, le montant de la prestation complémentaire annuelle correspond à la part des dépenses reconnues qui excède les revenus déterminants. Selon l’art. 11 al. 1 let. b et c et al. 3 LPC, les revenus déterminants comprennent : le produit de la fortune mobilière et immobilière (al. 1 let. b) ; un quinzième de la fortune nette, un dixième pour les bénéficiaires de rentes de vieillesse, dans la mesure où elle dépasse CHF 37'500.- pour les personnes seules (al. 1 let. c 1ère phrase). Ne sont pas pris en compte : a. les aliments fournis par les proches en vertu des art. 328 à 330 du code civil ; b. les prestations d'aide sociale ; c. les prestations provenant de personnes et d'institutions publiques ou privées ayant un caractère d'assistance manifeste ; d. les allocations pour impotents des assurances sociales ; e. les bourses d'études et autres aides financières destinées à l'instruction ; f. la contribution d'assistance versée par l'AVS ou par l'AI (al. 3). Selon l’art. 17 al. 1 de l’ordonnance sur les prestations complémentaires à l’assurance-vieillesse, survivants et invalidité du 15 janvier 1971 (OPC-AVS/AI -</w:t>
      </w:r>
    </w:p>
    <w:p>
      <w:r>
        <w:t>A/1607/2018 - 6/9 - RS 831.301), la fortune prise en compte doit être évaluée selon les règles de la législation sur l'impôt cantonal direct du canton du domicile. Selon l’art. 23 al. 1 OPC-AVS/AI, sont pris en compte en règle générale pour le calcul de la prestation complémentaire annuelle, les revenus déterminants obtenus au cours de l'année civile précédente et l'état de la fortune le 1er janvier de l'année pour laquelle la prestation est servie. S’agissant des PCC, selon l’art. 2 al. 1 let. a, b et d LPCC, ont droit aux PCC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et qui répondent aux autres conditions de la présente loi (let. d). Selon l’art. 4 LPCC, ont droit aux PCC les personnes dont le revenu annuel déterminant n’atteint pas le revenu minimum cantonal d’aide sociale applicable. Selon l’art. 5 let. c LPCC, le revenu déterminant est calculé conformément aux règles fixées dans la loi fédérale et ses dispositions d'exécution, moyennant, notamment, l’adaptation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6</w:t>
      </w:r>
    </w:p>
    <w:p>
      <w:r>
        <w:t>Selon l’art. 16 al. 1 et 2 de l’ordonnance sur le libre passage dans la prévoyance professionnelle vieillesse, survivants et invalidité du 3 octobre 1994 (OLP - RS 831 425), les prestations de vieillesse dues en vertu des polices et des comptes de libre passage peuvent être versées au plus tôt cinq ans avant que l’intéressé n'atteigne l'âge ordinaire de la retraite visé à l'art. 13 al. 1 LPP et au plus tard cinq ans après (al. 1). Si l’intéressé perçoit une rente entière d'invalidité de l'assurance fédérale et si le risque d'invalidité n'est pas assuré à titre complémentaire au sens de l'art. 10 al. 2 et 3, phr. 2, la prestation de vieillesse lui est versée plus tôt, sur sa demande (al. 2).</w:t>
      </w:r>
    </w:p>
    <w:p>
      <w:r>
        <w:t>A/1607/2018 - 7/9 - Selon l’art. 13 al. 1 let. b de la loi fédérale sur la prévoyance professionnelle vieillesse, survivants et invalidité du 25 juin 1982 (LPP – RS 831.40), ont droit à des prestations de vieillesse les femmes dès qu'elles ont atteint l'âge de 64 ans. Selon le chiffre 3443.03 des directives concernant les prestations complémentaires à l’AVS et à l’AI du 1er avril 2011 (ci-après DPC), les capitaux inhérents aux 2ème et 3ème piliers sont à prendre en compte dès le moment où l’intéressé a la possibilité de les retirer. Selon le chiffre 3443.06 DPC, n’est pas prise en compte dans la fortune celle qui est investie sur la base de l’OPP3, aussi longtemps qu’il n’est pas possible de verser les prestations de prévoyance. Eu égard au principe général du droit des assurances sociales, selon lequel il appartient à la personne assurée d'entreprendre de son propre chef tout ce que l'on peut raisonnablement attendre d'elle pour atténuer les conséquences du dommage (voir ATF 129 V 460 consid. 4.2 p. 463; 123 V 230 consid. 3c p. 233; 117 V 275 consid. 2b p. 278), on est en droit d'attendre et d'exiger qu'elle mette tout en œuvre pour concrétiser les possibilités de gain dont elle dispose, notamment en demandant le versement du capital de prévoyance déposé sur un compte de libre passage (arrêts du Tribunal fédéral des assurances P 56/05 du 29 mai 2006 consid. 3.5, in SVR 2007 EL n° 3 p. 5; P 14/95 du 4 juillet 1997 consid. 3b, in VSI 1997 p. 264; arrêt du Tribunal fédéral 9C 41/2011 du 16 août 2011). Selon l’art. 8 de la loi fédérale sur le libre passage dans la prévoyance professionnelle vieillesse, survivants et invalidité du 17 décembre 1993 (LFLP - RS 831.42), en cas de libre passage, l'institution de prévoyance doit établir à l’intéressé un décompte de la prestation de sortie. Ce décompte doit comprendre les indications sur le calcul de la prestation de sortie, et mentionner le montant minimum (art. 17) et le montant de l'avoir de vieillesse [art. 15 LPP (al. 1)]. L'institution de prévoyance doit indiquer à l’intéressé toutes les possibilités législatives et réglementaires pour maintenir la prévoyance; elle doit notamment l'informer sur la prévoyance en cas de décès ou d'invalidité (al. 2). Selon le chiffre 3443.01 des DPC, font partie de la fortune d’un requérant ses biens mobiliers et immobiliers, ainsi que les droits personnels et réels lui appartenant. L’origine des éléments de fortune est irrelevante. Selon l’art. 9 let. d des conditions générales, assurances de libre passage d’Allianz (ci-après les conditions générales), le preneur d’assurance a le droit d’exiger le rachat de l’assurance, notamment lorsqu’il demande le versement du capital durant les dix dernières années précédant la date de la retraite. Selon l'art. 7 ch. 1 des conditions générales, la couverture d'assurance prend effet au jour indiqué dans la police.</w:t>
      </w:r>
    </w:p>
    <w:p>
      <w:r>
        <w:rPr>
          <w:b/>
        </w:rPr>
        <w:t>E. 7</w:t>
      </w:r>
    </w:p>
    <w:p>
      <w:r>
        <w:t>En l’espèce, la police liant l'épouse du recourant à Allianz prévoit que la date de la retraite est le 1er août 2021. Selon les art. 9 let. d et 7 ch. 1 des conditions générales, celle-ci a droit au versement du capital de libre passage dix ans avant la date de retraite contractuelle (le 1er août 2021), soit dès le 1er août 2011. Il en résulte que</w:t>
      </w:r>
    </w:p>
    <w:p>
      <w:r>
        <w:t>A/1607/2018 - 8/9 - c’est à juste titre que l'intimé a pris en compte, dans sa décision sur opposition du</w:t>
      </w:r>
    </w:p>
    <w:p>
      <w:r>
        <w:rPr>
          <w:b/>
        </w:rPr>
        <w:t>E. 10</w:t>
      </w:r>
    </w:p>
    <w:p>
      <w:r>
        <w:t>avril 2018, dès le 1er février 2012 (délai de péremption de 5 ans), le capital de libre passage auquel avait droit l'épouse du recourant, en reprenant les montants annuels indiqués dans les polices de libre passage, conformément aux directives et à la jurisprudence précitées. Par ailleurs, l’intimé a donné une suite favorable à la demande de l’épouse du recourant du 5 septembre 2016, en ajoutant, dans son calcul de prestations, les cotisations AVS de celle-ci aux dépenses reconnues du 1er janvier 2012 au 30 avril 2018. La décision sur opposition de l’intimé est ainsi bien-fondée et doit être confirmée. 8. Infondé, le recours sera rejeté et la cause transmise à l’intimé pour décision sur la demande de remise. 9. La procédure est gratuite.</w:t>
      </w:r>
    </w:p>
    <w:p>
      <w:r>
        <w:t>A/1607/2018 - 9/9 -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