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ATAS/430/2018 vom 22. Mai 2018</w:t>
      </w:r>
    </w:p>
    <w:p>
      <w:r>
        <w:t>GE Cour de justice, 2018-05-22, FR</w:t>
      </w:r>
    </w:p>
    <w:p>
      <w:r>
        <w:rPr>
          <w:b/>
        </w:rPr>
        <w:t xml:space="preserve">Quelle: </w:t>
      </w:r>
      <w:r>
        <w:t>https://mcp.opencaselaw.ch/entscheid/ge_gerichte_ATAS_430_2018</w:t>
      </w:r>
    </w:p>
    <w:p>
      <w:r>
        <w:t>FR: GE_GERICHTE ATAS/430/2018 du 22 mai 2018</w:t>
      </w:r>
    </w:p>
    <w:p>
      <w:r>
        <w:t>IT: GE_GERICHTE ATAS/430/2018 del 22 maggio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droit de l’assurée à des indemnités de l’assurance chômage.</w:t>
      </w:r>
    </w:p>
    <w:p>
      <w:r>
        <w:rPr>
          <w:b/>
        </w:rPr>
        <w:t>E. 3.2</w:t>
      </w:r>
    </w:p>
    <w:p>
      <w:r>
        <w:t>p. 27; 137 I 69 consid. 2.5.1 p. 73).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Pour cela, les conditions cumulatives suivantes doivent être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121 V 66 consid. 2a et les références). c. Interrogée par la chambre de céans, elle a précisé que « c’est mon mari qui s’est renseigné par téléphone en automne 2016 auprès de la caisse au sujet du statut d’administrateur. Nous avons compris qu’il suffisait que je ne sois plus administratrice pour pouvoir prétendre à des indemnités de l’assurance-chômage, le fait que mon époux soit administrateur n’ayant pas d’importance ». On ne saurait retenir, au vu des seules déclarations de l’assurée, qu’un collaborateur de la caisse ait donné des informations de nature à violer les règles de la bonne foi de l’administration envers les particuliers. On ne voit pas par ailleurs comment celui-ci aurait pu affirmer que la fonction d’administrateur de son époux dans la société-employeur ne l’empêcherait pas de percevoir des indemnités de l’assurance- chômage. Enfin, invoquer la bonne foi, alors que dans le formulaire de demande d’indemnités du 23 décembre 2016, à la question de savoir si elle-même, ou son conjoint, avait une participation financière à l’entreprise de cet employeur ou si elle</w:t>
      </w:r>
    </w:p>
    <w:p>
      <w:r>
        <w:t>A/3590/2017 - 11/12 - était elle-même, ou son conjoint, membre d’un organe supérieur de décision de l’entreprise, elle a répondu par la négative, confine à la témérité.</w:t>
      </w:r>
    </w:p>
    <w:p>
      <w:r>
        <w:rPr>
          <w:b/>
        </w:rPr>
        <w:t>E. 4</w:t>
      </w:r>
    </w:p>
    <w:p>
      <w:r>
        <w:t>a. L’assuré a droit à l’indemnité de chômage notamment s’il est sans emploi ou partiellement sans emploi (art. 8 al. 1 let. a LACI). Est réputé sans emploi celui qui n’est pas partie à un rapport de travail et qui cherche à exercer une activité à plein- temps (art. 10 al. 1 LACI). Selon l’art. 10 al. 2 LACI, est réputé partiellement sans emploi celui qui n’est pas partie à un rapport de travail et cherche à n’exercer qu’une activité à temps partiel (let. a) ou occupe un emploi à temps partiel et cherche à le remplacer par une activité à plein-temps ou à le compléter par une autre activité à temps partiel (let. b) (ATF 121 V 355 consid. 2). b. Selon la jurisprudence (ATF 123 V 234),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légale, n'ont pas droit à l'indemnité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c.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s'agit avant tout de permettre le contrôle de la perte</w:t>
      </w:r>
    </w:p>
    <w:p>
      <w:r>
        <w:t>A/3590/2017 - 6/12 -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C'est la raison pour laquelle le Tribunal fédéral des assurances a posé des critères stricts permettant de lever d'emblée toute ambiguïté relativement à l'existence et à l'importance de la perte de travail d'assurés dont la situation professionnelle est comparable à celle d'un employeur. Il n'y a pas de place, dans ce contexte, pour un examen au cas par cas d'un éventuel abus de droit de la part d'un assuré.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entendent sanctionner ici, mais le risque d'abus que représente le versement d'indemnités à un travailleur jouissant d'une situation comparable à celle d'un employeur (arrêts du Tribunal fédéral des assurances C 92/02 du 14 avril 2003 et C 163/04 du 29 août 2005). d. De jurisprudence constante, l'inscription de l'assuré au registre du commerce (comme organe de la société) est décisive pour déterminer s'il occupe une position assimilable à celle d'un employeur; la radiation de l'inscription permet d'admettre sans équivoque que l'assuré a quitté la société (arrêt du Tribunal fédéral des assurances C 175/04 du 29 novembre 2005). Dans cet arrêt, le TFA a considéré que l'intéressé n'avait ni quitté définitivement l'entreprise en raison de la fermeture de celle-ci, ni rompu tout lien avec la Sàrl. Devenu liquidateur de celle-ci, il avait conservé des prérogatives analogues à celles dont il disposait précédemment. En particulier, il était chargé de la gestion et de la représentation de la société en liquidation, avec pouvoir d'accomplir tous les actes qui entraient dans le cadre du but de la liquidation, y compris, le cas échéant, de nouvelles opérations. En d'autres termes, le statut de liquidateur de la Sàrl avait eu pour effet de maintenir l'intéressé dans le cercle des personnes qui fixent les décisions de l'employeur ou qui les influencent de manière déterminante. De ce chef, il n'avait pas droit à l'indemnité, ce que la jurisprudence avait d'ailleurs déjà admis dans des affaires analogues</w:t>
      </w:r>
    </w:p>
    <w:p>
      <w:r>
        <w:t>A/3590/2017 - 7/12 - concernant des liquidateurs (DTA 2002 p. 185; arrêts du Tribunal fédéral des assurances C 373/00 du 19 mars 2002 et C 131/05 du 12 septembre 2005). e. La situation est en revanche différente quand le salarié, se trouvant dans une position assimilable à celle de l’employeur, quitte définitivement l’entreprise en raison de la fermeture de celle-ci;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des indemnités de chômage. f. Selon les dispositions légales régissant l'organisation de la société à responsabilité limitée, les associés exercent collectivement la gestion de la société (art. 809 al. 1 CO). La qualité de gérant revient à tout associé personne physique indépendamment du moment ou du mode d'acquisition de ses parts. Ainsi, la qualité de gérant naît pour un associé personne physique de son sociétariat (BUCHWALDER, in Commentaire romand, Code des obligations II, ad art. 809, no 2 et 4). La qualité de gérant emporte non seulement le droit mais aussi l'obligation de gérer la société (arrêt du Tribunal fédéral des assurances C 205/04 du 29 décembre 2005 consid. 2). Lorsqu'il s'agit d'un membre du conseil d'administration ou d'un associé d'une Sàrl, l'inscription au registre du commerce constitue en règle générale le critère de délimitation décisif pour déterminer s’il occupe une position assimilable à celle d’un employeur (DTA 2002 p. 185 consid. 2b et c; arrêt du Tribunal fédéral des assurances C 353/05 du 4 octobre 2006, consid. 2). La radiation de l’inscription permet d’admettre sans équivoque que l’assuré a quitté la société (arrêt du Tribunal fédéral des assurances C 175/04 du 29 novembre 2005 consid. 3.2). Une société disparaît dès la fin de sa liquidation, qui se concrétise par la radiation au registre du commerce. Avant ce stade, la société conserve sa personnalité juridique avec toutefois un but restreint par la finalité de la dissolution (cf. art. 821et ss CO; ATF 117 III 39 in JdT 1994 II 12; Boris RUBIN, Assurance- chômage, p. 130). La dissolution de la société doit à tout le moins être entreprise pour qu'un droit à l'indemnité de chômage puisse éventuellement être reconnu à la personne qui a occupé une position assimilable à celle d'un employeur. La seule cessation des activités n'est pas suffisante pour ouvrir un droit à l'indemnité de chômage (cf. arrêt du Tribunal fédéral des assurances C 11/04 du 7 juillet 2004). Le fait de retarder la dissolution d'une société commerciale peut, suivant les circonstances, être assimilé à une situation potentiellement abusive résultant d'actes concluants (DTA 2001 p. 218). Laisser sciemment possible une continuation des affaires entraîne la négation du droit (arrêt du Tribunal fédéral des assurances C 64/02 du 7 août 2003 consid. 2.2). En fait, il suffit qu'une continuation des activités de l'entreprise soit possible pour que le droit doive être nié en raison d'un risque de contournement des art. 31 al. 3 let. b et c LACI (arrêt du Tribunal fédéral des assurances C 75/04 du 20 avril 2005; RUBIN, op. cit., p. 131). La preuve de</w:t>
      </w:r>
    </w:p>
    <w:p>
      <w:r>
        <w:t>A/3590/2017 - 8/12 - l'existence d'un abus avéré n'exclut pas le risque d'abus qui est également pris en compte par la loi et la jurisprudence. Dès lors, l'existence ou l'absence d'abus n'est pas déterminante pour statuer sur un cas d'espèce (arrêts du Tribunal fédéral des assurances 8C_155/11 du 25 janvier 2012, consid. 4 et 8C_1004/10 du 29 juin 2011 consid. 7). g. Les directives (bulletin LACI, 2013) résument ainsi les faits entraînant le départ définitif ou l’abandon définitif de la position assimilable à celle d’un employeur: - la fermeture de l’entreprise ; - la faillite de l’entreprise ; - la vente de l’entreprise et/ou de la participation financière avec abandon de la position assimilable à celle d’un employeur ; - le congé avec perte de la position assimilable à celle d’un employeur. Les mêmes règles s’appliquent dans la situation du conjoint d’une personne occupant une position assimilable à celle d’un employeur. Il faut cependant, pour que le droit à l’indemnité de chômage soit nié, que le chômeur ait été employé par l’entreprise de son conjoint et que ce dernier reste lié à ladite entreprise (arrêt du Tribunal fédéral 8C_231/2012 du 16 août 2012 ; RUBIN, op. cit., n. 24 ss ad art. 10). h. Il n’y a plus de parallélisme de la perte de travail avec une réduction de l’horaire de travail - et partant plus d’application analogique possible de l’art. 31 al. 3 let. c LACI à l’indemnité de chômage - lorsque la personne qui occupe une position assimilable à celle d’un employeur quitte définitivement l’entreprise en raison de la fermeture de cette dernière ou rompt définitivement tout lien avec l’entreprise qui continue d’exister (ATF 123 V 234 consid. 7b/bb). Un risque d’abus subsiste lorsque l’activité de l’entreprise est simplement « mise en veilleuse » ou en voie d’être mise en faillite, une reprise des activités restant possible dans ces éventualités (RUBIN, op. cit., n. 29 ss ad art. 10).</w:t>
      </w:r>
    </w:p>
    <w:p>
      <w:r>
        <w:t>i. Il est également admis que les assurés occupant une position assimilable à celle d’un employeur et leur conjoint ont droit à l’indemnité de chômage s’ils se retrouvent au chômage après avoir été salariés d’une entreprise tierce (dans laquelle ils n’ont pas eu le statut de dirigeant), à la condition toutefois qu’ils l’aient été durant au moins six mois (arrêt du Tribunal fédéral des assurances C 171/03 du 31 mars 2004 consid. 2.3.2). Lorsqu’une telle durée d’emploi comme salarié sans position dirigeante dans une entreprise tierce a été atteinte, il faut admettre que le rapport de travail ouvrant le droit au chômage n’a pas constitué un masque à une réduction de l’horaire de travail (RUBIN, op. cit., n. 35 ad art. 10).</w:t>
      </w:r>
    </w:p>
    <w:p>
      <w:r>
        <w:rPr>
          <w:b/>
        </w:rPr>
        <w:t>E. 5</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w:t>
      </w:r>
    </w:p>
    <w:p>
      <w:r>
        <w:t>A/3590/2017 - 9/12 -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6</w:t>
      </w:r>
    </w:p>
    <w:p>
      <w:r>
        <w:t>Dans le domaine des assurances sociales, il n'existe pas un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consid. 2a, 208 consid. 6b et la référence).</w:t>
      </w:r>
    </w:p>
    <w:p>
      <w:r>
        <w:rPr>
          <w:b/>
        </w:rPr>
        <w:t>E. 7</w:t>
      </w:r>
    </w:p>
    <w:p>
      <w:r>
        <w:t>En l’espèce, il n’est pas contesté que l’assurée était directrice de la société et son époux administrateur de la société et que tous deux étaient titulaires de la signature individuelle, lorsqu'elle a requis les prestations de l'assurance-chômage le 20 décembre 2016. L’époux avait ainsi une situation professionnelle comparable à celle d'un employeur, - c’est du reste lui qui a signé la lettre de licenciement - de même que l’assurée elle-même. Une continuation des activités de l'entreprise restait donc possible et la perte de travail de l’assurée était incontrôlable. Or, selon la jurisprudence précitée, l’assurée n'a pas droit à l'indemnité de chômage, tant que la poursuite des activités de la société est possible.</w:t>
      </w:r>
    </w:p>
    <w:p>
      <w:r>
        <w:rPr>
          <w:b/>
        </w:rPr>
        <w:t>E. 8</w:t>
      </w:r>
    </w:p>
    <w:p>
      <w:r>
        <w:t>L’assurée et son époux sont respectivement associée et associé-gérant président de E______ SARL et associés de D______, deux sociétés dont le but est similaire à celui de l’employeur. L’assurée allègue à cet égard qu’aucune de ces sociétés n’a plus d’activité. La question de savoir si l’assurée aurait eu la possibilité d’exercer une activité similaire dans l’une de ces sociétés peut toutefois être laissée ouverte au vu de sa position et de celle de son époux au service de la société.</w:t>
      </w:r>
    </w:p>
    <w:p>
      <w:r>
        <w:rPr>
          <w:b/>
        </w:rPr>
        <w:t>E. 9</w:t>
      </w:r>
    </w:p>
    <w:p>
      <w:r>
        <w:t>mars 2017. Il occupe toutefois le poste de directeur depuis et a conservé la signature individuelle. Peu importe les raisons pour lesquelles il est resté titulaire de la signature, le fait est qu’il continue ainsi à engager valablement la société, et garde, partant, une position assimilable à celle d’un employeur. On peut encore relever que l’assurée et son époux sont actionnaires de la société à hauteur respectivement de 60% et de 40%.</w:t>
      </w:r>
    </w:p>
    <w:p>
      <w:r>
        <w:rPr>
          <w:b/>
        </w:rPr>
        <w:t>E. 10</w:t>
      </w:r>
    </w:p>
    <w:p>
      <w:r>
        <w:t>a. L’assurée fait valoir qu’elle avait contacté les services du chômage « afin de ne pas commettre d’impairs quant à leur signature enregistrée au Registre du commerce à elle et son époux ». Elle considère qu’elle a été induite en erreur.</w:t>
      </w:r>
    </w:p>
    <w:p>
      <w:r>
        <w:t>A/3590/2017 - 10/12 - b. 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5.3 p. 261 et les arrêts cités). De ce principe général découle notamment le droit fondamental du particulier à la protection de sa bonne foi dans ses relations avec l'État, consacré à l'art. 9 in fine Cst. (ATF 138 I 49 consid. 8.3.1 p. 53 et les arrêts cités).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139 V 21 consid.</w:t>
      </w:r>
    </w:p>
    <w:p>
      <w:r>
        <w:rPr>
          <w:b/>
        </w:rPr>
        <w:t>E. 11</w:t>
      </w:r>
    </w:p>
    <w:p>
      <w:r>
        <w:t>La décision querellée doit ainsi être confirmée et le recours rejeté. ***</w:t>
      </w:r>
    </w:p>
    <w:p>
      <w:r>
        <w:t>A/3590/2017 - 12/12 -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