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ATAS/430/2014 vom 25. März 2014</w:t>
      </w:r>
    </w:p>
    <w:p>
      <w:r>
        <w:t>GE Cour de justice, 2014-03-25, FR</w:t>
      </w:r>
    </w:p>
    <w:p>
      <w:r>
        <w:rPr>
          <w:b/>
        </w:rPr>
        <w:t xml:space="preserve">Quelle: </w:t>
      </w:r>
      <w:r>
        <w:t>https://mcp.opencaselaw.ch/entscheid/ge_gerichte_ATAS_430_2014</w:t>
      </w:r>
    </w:p>
    <w:p>
      <w:r>
        <w:t>FR: GE_GERICHTE ATAS/430/2014 du 25 mars 2014</w:t>
      </w:r>
    </w:p>
    <w:p>
      <w:r>
        <w:t>IT: GE_GERICHTE ATAS/430/2014 del 25 marzo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 recours ayant été interjeté dans la forme et le délai prévu par la loi – délai débutant le 14 juin 2013 et arrivant à échéance le 16 août 2013 – le présent recours est recevable (art. 56 à 61 LPGA et 38 al. 3 et 4 let. b LPGA p.a.).</w:t>
      </w:r>
    </w:p>
    <w:p>
      <w:r>
        <w:rPr>
          <w:b/>
        </w:rPr>
        <w:t>E. 3</w:t>
      </w:r>
    </w:p>
    <w:p>
      <w:r>
        <w:t>Au préalable, il y a lieu de déterminer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w:t>
      </w:r>
    </w:p>
    <w:p>
      <w:r>
        <w:t>A/2393/2013 - 9/18 -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b) En l’espèce, la décision et la décision sur opposition litigieuses portent sur les prestations – rente d’invalidité et indemnité pour atteinte à l’intégrité – auxquelles peut prétendre le recourant suite à l’accident du 28 juillet 2009 ainsi que sur le refus de l’intimée de lui octroyer des prestations pour ses troubles au poignet droit nés en 2004/2005. Le recourant ayant contesté le taux de la rente d’invalidité, le litige porte tout d’abord sur cette question ainsi que sur le lien de causalité entre les atteintes du poignet droit et l’accident du 28 juillet 2009. En revanche, le taux et le montant de l’indemnité pour atteinte à l’intégrité n’ayant pas été remis en cause, ces questions ne sont plus litigieuses et ne font ainsi pas partie de l’objet du litige, de sorte que la Cour de céans n’a pas à les examiner. Par ailleurs, le recourant invoque qu’il a eu un accident en 2004/2005 ayant engendré des troubles au poignet droit, de sorte que la prise en charge de prestations en lien avec cet événement devra également être examinée. En ce qui concerne le droit du recourant à des prestations suite à l’accident du mois de mai 2011 (atteinte au genou droit), il a déjà été tranché par l’intimée de manière définitive dans sa décision du 8 août 2011, le recourant ne s’étant pas opposé à cette décision mettant fin à toutes prestations au 8 août 2011. Dès lors, le litige ne saurait porter sur les atteintes du genou droit.</w:t>
      </w:r>
    </w:p>
    <w:p>
      <w:r>
        <w:rPr>
          <w:b/>
        </w:rPr>
        <w:t>E. 3.3</w:t>
      </w:r>
    </w:p>
    <w:p>
      <w:r>
        <w:t>et B 80/01 du 17 octobre 2003, consid. 5.2.2).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Lorsque l'invalidité est la conséquence d'un accident, ces indices doivent déjà avoir existé au moment où celui-ci s'est produit (ATF non publié 9C_486/2011 du 12 octobre 2011, consid. 4.1 et les références citées). Le revenu de l'activité raisonnablement exigible ou revenu d’invalide doit être déterminé en se référant aux conditions d'un marché du travail équilibré et structuré offrant un éventail d'emplois diversifiés. Il s'agit donc d'une notion théorique. Lorsque l'assuré ne reprend pas d'activité lucrative, la comparaison peut se faire au moyen de tabelles statistiques (ATF 126 V 76 consid. 3a/bb et les références) ou de données salariales résultant de descriptions de postes de travail (DPT) (ATF 129 V 472). Si le revenu d’invalide est fondé sur les tabelles statistiques, et plus précisément sur l’Enquête suisse sur la structure des salaires, publiée par l’Office fédéral de la statistique (ci-après l’ESS),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ATFA non publié du 6 février 2002, U 241/00 consid. 2).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t>A/2393/2013 - 16/18 -</w:t>
      </w:r>
    </w:p>
    <w:p>
      <w:r>
        <w:rPr>
          <w:b/>
        </w:rPr>
        <w:t>E. 4</w:t>
      </w:r>
    </w:p>
    <w:p>
      <w:r>
        <w:t>Il convient tout d’abord d’examiner le droit du recourant à des prestations en lien avec un événement ayant eu lieu en 2004/2005 et ayant engendré des atteintes au poignet droit. a) Les prestations de l’assurance-accidents sont allouées en cas d’accident professionnel, d’accident non professionnel et de maladie professionnelle (cf. art.</w:t>
      </w:r>
    </w:p>
    <w:p>
      <w:r>
        <w:rPr>
          <w:b/>
        </w:rPr>
        <w:t>E. 6</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w:t>
      </w:r>
    </w:p>
    <w:p>
      <w:r>
        <w:t>A/2393/2013 - 11/18 -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A/2393/2013 - 12/18 -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8</w:t>
      </w:r>
    </w:p>
    <w:p>
      <w:r>
        <w:t>Le recourant considère qu’outre ses atteintes au poignet gauche, celles au poignet droit doivent également être imputées à l’accident du 28 juillet 2009, alors que l’intimée estime que les atteintes du poignet droit ne sont pas en rapport de causalité avec cet accident.</w:t>
      </w:r>
    </w:p>
    <w:p>
      <w:r>
        <w:t>A/2393/2013 - 13/18 - L’intimée fonde sa décision sur opposition sur les rapports de ses médecins d’arrondissement, les Drs M_________ et P_________, ainsi que sur les rapports des médecins traitants du recourant. Le Dr L__________ est le premier médecin à s’être prononcé, après l’accident du 28 juillet 2009 et l’opération à la main gauche en août 2009, et a uniquement fait état, en septembre 2009, d’un diagnostic en lien avec le poignet gauche. Quant au Dr M_________, il a également discuté, en décembre 2009 des suites de l’accident au niveau du poignet gauche, tout en indiquant notamment qu’il existait des cicatrices anciennes au poignet droit et que les clichés radiologiques montraient des lésions dégénératives à gauche et à droite. Le Dr N_________ a procédé à une arthroplastie du poignet gauche en mars 2010 et a attesté en février 2011 de troubles au poignet gauche sans faire référence à des atteintes au poignet droit en lien avec l’accident. Enfin, il résulte du rapport final de juin 2012 du Dr P_________ qu’il s’est déterminé sur les conséquences de l’atteinte au poignet gauche sur la capacité de travail, attendu que le traumatisme avait eu lieu à gauche. Au vu des éléments qui précèdent, force est de constater qu’aucun médecin n’a considéré que les atteintes au poignet droit étaient en lien de causalité naturelle avec l’accident du 28 juillet 2009. Certes, le Dr N_________ a indiqué, en octobre 2013, qu’il existait des douleurs post-traumatiques au niveau des deux poignets, toutefois, cela n’est pas assez précis pour retenir un tel lien de causalité naturelle. Qui plus est, le recourant s’est plaint pour la première fois de douleurs à sa main droite lors d’un entretien avec un collaborateur de l’intimée en avril 2011, soit un an et neuf mois après l’accident de juillet 2009, de sorte qu’il est très peu vraisemblable que ces troubles soient dus à cet accident. Enfin, le fait que les troubles se soient déclenchés après l’accident ne suffit pas à établir un rapport de causalité naturelle avec l’accident. Il doit ainsi être conclu, au degré de la vraisemblance prépondérante prévu par la jurisprudence, que les atteintes du recourant au poignet droit ne sont pas en relation de causalité naturelle avec l’accident du 28 juillet 2009 et ne sauraient ainsi donner droit à des prestations de l’assurance-accidents. Pour le surplus, il a été retenu de manière convaincante par le Dr P_________, en juin 2012, que le recourant présentait, sans tenir compte des atteintes au poignet droit et au genou droit, une entière capacité de travail dans une activité adaptée à ses limitations fonctionnelles, lesquelles concernaient le port de charges de plus de</w:t>
      </w:r>
    </w:p>
    <w:p>
      <w:r>
        <w:rPr>
          <w:b/>
        </w:rPr>
        <w:t>E. 10</w:t>
      </w:r>
    </w:p>
    <w:p>
      <w:r>
        <w:t>a) En l’espèce, dans la mesure où l’état de la main gauche du recourant est stabilisé depuis juin 2012 en tous les cas, c’est à juste titre que l’intimée a déterminé que le droit à la rente débutait au 1er septembre 2012. Cela n’est pas contesté par le recourant. Il convient ainsi de se placer en 2012 pour procéder à la comparaison des revenus. b) L’intimée a fixé le revenu sans invalidité en se fondant sur le revenu que le recourant a obtenu en 2009 dans son activité temporaire auprès des CFF. La Cour de céans ne saurait suivre ce raisonnement. En effet, pour établir le revenu sans invalidité, il convient de déterminer ce que le recourant aurait effectivement pu gagner en 2012, s’il était resté en bonne santé. D’une part, le recourant a uniquement travaillé temporairement en qualité médiateur auprès des CFF, alors qu’il y était placé durant six mois par les organes de l’assurance-chômage. Cette activité de médiateur n’a pas été exercée auparavant par le recourant, celui-ci ayant essentiellement été actif dans des activités dans le bâtiment ou dans la musique. D’autre part, il a suivi avec l’aide de l’OAI, entre 2005 et 2007, une formation certifiante d’ingénieur du son auprès du SAE Institute, qui devait lui permettre de prétendre à un poste dans l'industrie audio en tant que professionnel dans divers secteurs techniques ou administratifs des industries audio musicales ou télévision / post-production, soit comme technicien son en enregistrement, en post-production, chef opérateur son, gérant de studio ou monteur son (cf. site internet SAE Institute http://geneve.sae.edu/fr/course/2268/Ingenieur_du_Son). Dès lors, compte tenu de cette formation et de l’engagement visible du recourant dans le domaine de la musique durant sa vie, il apparaît, au degré de la vraisemblance prépondérante prévu par la jurisprudence, qu’il aurait exercé, sans atteintes à la santé, l’activité d’ingénieur du son. Dans la mesure où le recourant n’a pas pu, au vu du dossier, exercer cette activité, s’étant notamment retrouvé au chômage, il convient de se fonder sur les données statistiques. D’après l’ESS 2010, le revenu mensuel standardisé d’un homme, ayant des connaissances spécifiques et exerçant dans le domaine de la production audiovisuelle (tableau TA1, homme, ligne 59, niveau de qualification 3), est de 5'507 francs. Ce revenu, calculé sur la base d’un horaire hebdomadaire de travail de 40 heures, doit encore être adapté à l’horaire de travail en 2012, lequel est de 40.8 heures (cf. tableau « durée normale du travail dans les entreprises selon la division économique » de l’Office fédéral de la statistique, ligne 58 à 63), ainsi qu’à l’indice suisse des salaires nominaux (ISS ; 2010 : 2'151 et 2012 : 2'188). On obtient ainsi un revenu sans invalidité de 68'565 fr. 15 (5'507 x 12 x 41.8 / 40 x 2'188 / 2’151). En revanche, on ne saurait retenir en sus de ce salaire d’éventuels revenus que le recourant auraient obtenu en tant que musicien. En effet, il allègue lui-même que tant les cachets obtenus lors de concerts que les gains lors des ventes de CD ont</w:t>
      </w:r>
    </w:p>
    <w:p>
      <w:r>
        <w:t>A/2393/2013 - 17/18 - essentiellement permis à payer les différentes charges nécessitées par leur production. c) Pour ce qui est du revenu d’invalide, les activités qui ont été sélectionnées par l’intimée, soit les activités de vendeur de chaussures, de chauffeur de taxi, d’aide de cafétéria, d’employé au service clientèle et de collaborateur de production, ne requièrent pas le port de charges de plus de 10 kilogrammes, le maniement d’outils lourds, de force de serrage ou encore de mouvements répétitifs de flexion-extension de la main gauche, de sorte que ces activités sont compatibles avec l’état de santé du recourant mis en exergue par le médecin d’arrondissement de l’intimée. De plus, il ressort également des DPT que ces activités, hormis celle de chauffeur de taxi, ne nécessitent pas de formation spécifique, de sorte qu’elles sont immédiatement exigibles de la part du recourant. C’est ainsi à juste titre que l’intimée s’est fondée sur les DPT pour calculer le revenu d’invalide. Qui plus est, elle a déterminé, avec raison, le revenu d’invalide en se fondant sur les DPT sans procéder à une réduction de ce salaire eu égard aux limitations fonctionnelles du recourant, et ce conformément à la jurisprudence citée ci-dessus.</w:t>
      </w:r>
    </w:p>
    <w:p>
      <w:r>
        <w:t>Il sera précisé que l’intimée n’a pas retenu que l’activité d’ingénieur du son ou celle de musicien soit adaptée aux limitations fonctionnelles du recourant, ce que celui admet d’ailleurs en expliquant qu’il ne pouvait plus effectuer toutes les tâches y relatives, indiquant notamment souhaiter exercer le métier d’ingénieur du son mais avec l’aide d’un aide assistant à sa charge, et ne plus pouvoir être musicien percussionniste. Dès lors, en se fondant sur les DPT et en supprimant le poste de chauffeur de taxi, puisque celui-ci n’est pas exigible du recourant sans formation, on arrive à un salaire – moyen – d’invalide de 52'404 fr. ([48'000 + 52'325 + 53'991 + 55'300] / 4). d) Partant, en comparant le revenu sans invalidité au revenu d’invalide, le degré d’invalidité du recourant est de 24% ((68'565.15 - 52'404) x 100 / 68'565.15), de sorte qu’il a droit à une rente d’invalidité de 24%, et non uniquement de 12% comme retenu par l’intimée.</w:t>
      </w:r>
    </w:p>
    <w:p>
      <w:r>
        <w:rPr>
          <w:b/>
        </w:rPr>
        <w:t>E. 11</w:t>
      </w:r>
    </w:p>
    <w:p>
      <w:r>
        <w:t>Le recours est ainsi partiellement admis et le recourant mis au bénéfice d’une rente de 24% dès le 1er septembre 2012. Pour le surplus, la procédure est gratuite (art. 61 let. a LPGA).</w:t>
      </w:r>
    </w:p>
    <w:p>
      <w:r>
        <w:t>A/2393/2013 - 18/18 -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