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ATAS/430/2010 vom 29. April 2010</w:t>
      </w:r>
    </w:p>
    <w:p>
      <w:r>
        <w:t>GE Cour de justice, 2010-04-29, FR</w:t>
      </w:r>
    </w:p>
    <w:p>
      <w:r>
        <w:rPr>
          <w:b/>
        </w:rPr>
        <w:t xml:space="preserve">Quelle: </w:t>
      </w:r>
      <w:r>
        <w:t>https://mcp.opencaselaw.ch/entscheid/ge_gerichte_ATAS_430_2010</w:t>
      </w:r>
    </w:p>
    <w:p>
      <w:r>
        <w:t>FR: GE_GERICHTE ATAS/430/2010 du 29 avril 2010</w:t>
      </w:r>
    </w:p>
    <w:p>
      <w:r>
        <w:t>IT: GE_GERICHTE ATAS/430/2010 del 29 aprile 2010</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nouvelle demande de prestations a été déposée le 21 mars 2009.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et celles de la LAI du</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A/3014/2009 - 8/16 -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w:t>
      </w:r>
    </w:p>
    <w:p>
      <w:r>
        <w:t>A/3014/2009 - 9/16 -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w:t>
      </w:r>
    </w:p>
    <w:p>
      <w:r>
        <w:t>A/3014/2009 - 10/16 -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w:t>
      </w:r>
    </w:p>
    <w:p>
      <w:r>
        <w:t>A/3014/2009 - 11/16 -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A/3014/2009 - 12/16 -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A/3014/2009 - 13/16 -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11</w:t>
      </w:r>
    </w:p>
    <w:p>
      <w:r>
        <w:t>En l'espèce, l'intimé a estimé, en se fondant sur l'avis du SMR du 25 janvier 2010, que les renseignements médicaux indiquaient une aggravation de l'état de santé de la recourante de sorte qu'une expertise psychiatrique était nécessaire. La recourante a elle-même conclu à l'ordonnance d'une expertise bidisciplinaire, somatique et psychiatrique. Au vu des avis médicaux de la Dresse R__________ des 2 octobre 2009 et</w:t>
      </w:r>
    </w:p>
    <w:p>
      <w:r>
        <w:rPr>
          <w:b/>
        </w:rPr>
        <w:t>E. 15</w:t>
      </w:r>
    </w:p>
    <w:p>
      <w:r>
        <w:t>décembre 2009, il se justifie, conformément à l'avis des parties, d'instruire l'aspect psychiatrique par le biais d'une expertise, laquelle sera confiée au Dr S__________, médecin spécialiste en psychiatrie et psychothérapie. En l'état seule une expertise psychiatrique sera ordonnée.</w:t>
      </w:r>
    </w:p>
    <w:p>
      <w:r>
        <w:t>A/3014/2009 - 14/16 -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