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ATAS/42/2023 vom 27. Januar 2023</w:t>
      </w:r>
    </w:p>
    <w:p>
      <w:r>
        <w:t>GE Cour de justice, 2023-01-27, FR</w:t>
      </w:r>
    </w:p>
    <w:p>
      <w:r>
        <w:rPr>
          <w:b/>
        </w:rPr>
        <w:t xml:space="preserve">Quelle: </w:t>
      </w:r>
      <w:r>
        <w:t>https://mcp.opencaselaw.ch/entscheid/ge_gerichte_ATAS_42_2023</w:t>
      </w:r>
    </w:p>
    <w:p>
      <w:r>
        <w:t>FR: GE_GERICHTE ATAS/42/2023 du 27 janvier 2023</w:t>
      </w:r>
    </w:p>
    <w:p>
      <w:r>
        <w:t>IT: GE_GERICHTE ATAS/42/2023 del 27 gennaio 2023</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dans la forme et le délai prescrits par la loi, le recours est recevable (art. 56 LPGA ; art. 62 al. 1 de la loi sur la procédure administrative du 12 septembre 1985 [LPA - E 5 10]).</w:t>
      </w:r>
    </w:p>
    <w:p>
      <w:r>
        <w:rPr>
          <w:b/>
        </w:rPr>
        <w:t>E. 2</w:t>
      </w:r>
    </w:p>
    <w:p>
      <w:r>
        <w:t>Le litige porte sur la prise en charge, par l’intimée, au titre de l’assurance obligatoire des soins, du traitement prescrit à base du médicament Saxenda pour la période postérieure au 29 octobre 2021.</w:t>
      </w:r>
    </w:p>
    <w:p>
      <w:r>
        <w:rPr>
          <w:b/>
        </w:rPr>
        <w:t>E. 2.1</w:t>
      </w:r>
    </w:p>
    <w:p>
      <w:r>
        <w:t>Selon l’art. 24 LAMal, l’assurance obligatoire des soins prend en charge les coûts des prestations définies aux art. 25 à 31 LAMal en tenant compte des conditions des art. 32 à 34 LAMal (al. 1). Les prestations prises en charge sont rattachées à la date ou à la période de traitement (al. 2).</w:t>
      </w:r>
    </w:p>
    <w:p>
      <w:r>
        <w:t>A/2240/2022 - 4/8 - L’al. 1 de l’art. 34 LAMal dispose que les assureurs ne peuvent pas prendre en charge, au titre de l’assurance obligatoire des soins, d’autres coûts que ceux des prestations prévues aux art. 25 à 33 LAMal.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de même que les analyses, médicaments, moyens et appareils diagnostiques ou thérapeutiques prescrits par un médecin ou, dans les limites fixées par le Conseil fédéral, par un chiropraticien (al. 2 let. b). Conformément à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w:t>
      </w:r>
    </w:p>
    <w:p>
      <w:r>
        <w:rPr>
          <w:b/>
        </w:rPr>
        <w:t>E. 2.2</w:t>
      </w:r>
    </w:p>
    <w:p>
      <w:r>
        <w:t>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de l’ordonnance sur l'assurance-maladie du 27 juin 1995 [OAMal - RS 832.102] ; art. 1 de l'ordonnance du Département fédéral de l’intérieur sur les prestations dans l’assurance obligatoire des soins en cas de maladie du 29 septembre 1995 [OPAS - RS 832.112.31] et son annexe 1).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 celle-ci peut notamment se rapporter à la quantité ou aux indications médicales. De telles limitations constituent des instruments de contrôle de l'économicité et non pas une forme de rationalisation des prestations. Elles ont également pour but d'exclure ou de limiter la possibilité d'utiliser de manière abusive des médicaments de la liste des spécialités (arrêt du Tribunal fédéral 9C_912/2010 du 31 octobre 2011 consid. 3.4 et les références).</w:t>
      </w:r>
    </w:p>
    <w:p>
      <w:r>
        <w:rPr>
          <w:b/>
        </w:rPr>
        <w:t>E. 2.3</w:t>
      </w:r>
    </w:p>
    <w:p>
      <w:r>
        <w:t>La liste des spécialités a un caractère à la fois exhaustif et contraignant. La prise en charge par l'assurance-maladie obligatoire d'une prestation correspondant à une analyse, un appareil ou un moyen, ou encore un produit thérapeutique</w:t>
      </w:r>
    </w:p>
    <w:p>
      <w:r>
        <w:t>A/2240/2022 - 5/8 -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Le médicament Saxenda est admis dans la liste des spécialités. Selon ladite liste, le traitement nécessite une garantie de prise en charge par l’assurance-maladie après consultation préalable du médecin-conseil. Le traitement doit être arrêté chez les patients dont l’indice de masse corporelle (ci-après : IMC) est supérieur à 28 et inférieur à 35 et qui n’ont pas perdu au moins 5% de leur poids corporel initial après 16 semaines de traitement (4 semaines de titrage, 12 semaines de traitement à 3 mg/jour) et chez les patients dont l'IMC est supérieur à 35 et qui n'ont pas perdu au moins 7% de leur poids corporel initial après 16 semaines de traitement (4 semaines de titrage, 12 semaines de traitement à 3 mg/jour) par rapport au début du traitement par Saxenda. Après 6 mois de plus, le traitement doit être arrêté si une réduction supplémentaire d'au moins 5% du poids obtenu après 16 semaines n'est pas atteinte.</w:t>
      </w:r>
    </w:p>
    <w:p>
      <w:r>
        <w:rPr>
          <w:b/>
        </w:rPr>
        <w:t>E. 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w:t>
      </w:r>
    </w:p>
    <w:p>
      <w:r>
        <w:t>A/2240/2022 - 6/8 -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4</w:t>
      </w:r>
    </w:p>
    <w:p>
      <w:r>
        <w:t>Devant la chambre de céans, le recourant ne conteste pas que les conditions de prise en charge du médicament litigieux après un premier traitement pendant 16 semaines ne sont pas remplies, puisque l’assuré n’a perdu que 3.5% de son poids corporel après 16 semaines de traitement. Il fait toutefois valoir que l’intimée lui a causé un dommage en ne l’informant pas suffisamment tôt de son refus de prendre en charge le médicament litigieux. Implicitement donc, il se prévaut du droit à la protection de la bonne foi. En l’occurrence, il n’est pas contesté que le médicament litigieux nécessite une garantie de prise en charge par l’assurance-maladie après consultation préalable du médecin-conseil. Or, il ressort du dossier que l’intimée a interpellé les HUG à trois reprises, les 13 août et 23 novembre 2021 et 12 janvier 2022, afin d’obtenir les informations nécessaires permettant de statuer sur la prise en charge du médicament prescrit par le médecin traitant du recourant. Ce n’est qu’après avoir reçu la réponse dudit médecin, le 20 janvier 2022, que l’intimée a pu se déterminer par courrier du 18 février 2022. Sur la base de ces éléments, il n’apparait pas que l’intimée a donné au recourant une quelconque promesse ou assurance relativement à la prise en charge du médicament litigieux. Elle n’a pas davantage adopté un comportement qui eût été de nature à induire en erreur le recourant. Les conditions tirées du droit à la protection de la bonne foi ne sont dès lors pas réunies. C’est le lieu de préciser que le médecin traitant assume à l’égard de son patient un devoir contractuel d’information minimale en matière économique. Il lui appartient ainsi d’attirer l’attention du patient lorsqu’il sait qu’un traitement, une intervention ou ses honoraires ne sont pas couverts par l’assurance-maladie ou lorsqu’il éprouve ou doit éprouver des doutes à ce sujet (ATF 127 V 49 consid. 2f ; 119 II 460 consid. 2d). Le moyen soulevé par le recourant n’est dès lors pas fondé.</w:t>
      </w:r>
    </w:p>
    <w:p>
      <w:r>
        <w:rPr>
          <w:b/>
        </w:rPr>
        <w:t>E. 5</w:t>
      </w:r>
    </w:p>
    <w:p>
      <w:r>
        <w:t>Pour le reste, et en tant que le recourant se prévaut d’une situation financière difficile, son recours peut être considéré comme une demande de remise qui, en</w:t>
      </w:r>
    </w:p>
    <w:p>
      <w:r>
        <w:t>A/2240/2022 - 7/8 - tant que telle, doit être traitée par l’intimée après l’entrée en force de la présente décision (cf. art. 4 et 5 de l’ordonnance sur la partie générale du droit des assurances sociales [OPGA ; RS 830.11]). La cause lui sera donc transmise pour raison de compétence, ce à quoi l’intimée conclut d’ailleurs explicitement.</w:t>
      </w:r>
    </w:p>
    <w:p>
      <w:r>
        <w:rPr>
          <w:b/>
        </w:rPr>
        <w:t>E. 6</w:t>
      </w:r>
    </w:p>
    <w:p>
      <w:r>
        <w:t>Au vu de ce qui précède, le recours sera rejeté et transmis à l’intimée dans le sens des considérants. Pour le surplus, la procédure est gratuite (art. 61 let. fbis a contrario LPGA).</w:t>
      </w:r>
    </w:p>
    <w:p>
      <w:r>
        <w:t>A/2240/2022 - 8/8 -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