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ATAS/42/2022 vom 25. Januar 2022</w:t>
      </w:r>
    </w:p>
    <w:p>
      <w:r>
        <w:t>GE Cour de justice, 2022-01-25, FR</w:t>
      </w:r>
    </w:p>
    <w:p>
      <w:r>
        <w:rPr>
          <w:b/>
        </w:rPr>
        <w:t xml:space="preserve">Quelle: </w:t>
      </w:r>
      <w:r>
        <w:t>https://mcp.opencaselaw.ch/entscheid/ge_gerichte_ATAS_42_2022</w:t>
      </w:r>
    </w:p>
    <w:p>
      <w:r>
        <w:t>FR: GE_GERICHTE ATAS/42/2022 du 25 janvier 2022</w:t>
      </w:r>
    </w:p>
    <w:p>
      <w:r>
        <w:t>IT: GE_GERICHTE ATAS/42/2022 del 25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l’assurance-chômage obligatoire et l’indemnité en cas d’insolvabilité, du 25 juin 1982 (loi sur l’assurance-chômage, LACI - RS 837.0). Sa compétence pour juger du cas d’espèce est ainsi établie. Interjeté dans la forme prescrite et en temps utile, le recours est recevable. 2. Le litige porte sur le bien-fondé de la sanction prononcée contre la recourante par l’intimé dans sa décision sur opposition du 10 mai 2021. La recourante ne conteste pas avoir fait moins de dix recherches par mois durant les derniers mois de son contrat de travail, mais se prévaut du principe de la bonne foi en soutenant s’être fiée à une indication erronée communiquée par son</w:t>
      </w:r>
    </w:p>
    <w:p>
      <w:r>
        <w:t>A/2024/2021 - 8/12 - conseiller en placement au sujet du nombre de recherches d’emploi attendues d’elle pour les mois de décembre 2020 à février 2021. 3.</w:t>
      </w:r>
    </w:p>
    <w:p>
      <w:r>
        <w:t>3.1 Selon l’art. 30 al. 1 let. c LACI, le droit de l’assuré à l’indemnité de chômage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3.2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w:t>
      </w:r>
    </w:p>
    <w:p>
      <w:r>
        <w:rPr>
          <w:b/>
        </w:rPr>
        <w:t>E. 10</w:t>
      </w:r>
    </w:p>
    <w:p>
      <w:r>
        <w:t>mai 2021, l’intimé a infligé une suspension de neuf jours du droit à l’indemnité de la recourante, soit la sanction minimale en cas de recherches d’emploi insuffisantes pendant un délai de congé de trois mois. Cette sanction est proportionnée. La décision sur opposition sera confirmée. 5.4 Au vu du sort du litige, la recourante, agissant par ailleurs seule, ne peut prétendre à des dépens. 5.5 Pour le surplus, la procédure est gratuite. * * * * * *</w:t>
      </w:r>
    </w:p>
    <w:p>
      <w:r>
        <w:t>A/2024/2021 - 12/12 -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