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ATAS/42/2018 vom 22. Januar 2018</w:t>
      </w:r>
    </w:p>
    <w:p>
      <w:r>
        <w:t>GE Cour de justice, 2018-01-22, FR</w:t>
      </w:r>
    </w:p>
    <w:p>
      <w:r>
        <w:rPr>
          <w:b/>
        </w:rPr>
        <w:t xml:space="preserve">Quelle: </w:t>
      </w:r>
      <w:r>
        <w:t>https://mcp.opencaselaw.ch/entscheid/ge_gerichte_ATAS_42_2018</w:t>
      </w:r>
    </w:p>
    <w:p>
      <w:r>
        <w:t>FR: GE_GERICHTE ATAS/42/2018 du 22 janvier 2018</w:t>
      </w:r>
    </w:p>
    <w:p>
      <w:r>
        <w:t>IT: GE_GERICHTE ATAS/42/2018 del 22 gennaio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t>A/4040/2016 - 9/17 - En l’espèce, au vu de la décision attaquée et du recours, le litige porte uniquement sur la question de savoir si, dans le cadre de la demande de révision déposée par l’assurée, son degré d’invalidité a augmenté dans une mesure justifiant l’augmentation de la demi-rente dont elle bénéficie. Le droit de l’assurée à d’autres prestations de l’assurance-invalidité, singulièrement à des mesures d’ordre professionnel, n’est en revanche pas litigieux devant la chambre de céans, faute de décision rendue par l’intimé à cet égard.</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6</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A/4040/2016 - 10/17 -</w:t>
      </w:r>
    </w:p>
    <w:p>
      <w:r>
        <w:rPr>
          <w:b/>
        </w:rPr>
        <w:t>E. 7</w:t>
      </w:r>
    </w:p>
    <w:p>
      <w:r>
        <w:t>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Lorsqu’un assuré est déjà au bénéfice d’une rente, sa demande doit être qualifiée de demande de révision et non de nouvelle demande (arrêt du Tribunal fédéral des assurances I 142/06 du 25 octobre 2006 consid. 3.1). Cela étant, la distinction opérée est avant tout théorique dès lors que l’alinéa 3 de l’art. 87 RAI renvoie aux conditions de l’alinéa 2 de cette même disposition et que la jurisprudence applique par analogie les principes développés en matière de nouvelle demande à l’entrée en matière sur la demande de révision (Damien VALLAT, La nouvelle demande de prestations AI et les autres voies permettant la modification de décisions en force, RSAS 2003, p. 392 ch. 2.2 et les références citées). Dans un cas comme dans l’autre, les conditions d’entrée en matière prévues par l’art. 87 al. 2 et 3 RAI (qui reprend pour l’essentiel l’art. 87 al. 3 et 4 RAI en vigueur jusqu’au 31 décembre 2011) ont pour but de restreindre la possibilité de présenter de manière répétée des demandes de rente identiques (ATF 133 V 108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Lorsque l'administration entre en matière sur une nouvelle demande de prestations, elle doit examiner la cause au plan matériel - soit en instruire tous les aspects</w:t>
      </w:r>
    </w:p>
    <w:p>
      <w:r>
        <w:t>A/4040/2016 - 11/17 -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w:t>
      </w:r>
    </w:p>
    <w:p>
      <w:r>
        <w:rPr>
          <w:b/>
        </w:rPr>
        <w:t>E. 8</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 130 V 343 consid. 3.5.2). Une communication de prolongation de la rente (art. 74ter let. f RAI) peut être assimilée à la dernière décision entrée en force, à condition qu’elle repose sur un examen matériel du droit (arrêt du Tribunal fédéral 9C_46/2009 du 14 août 2009 consid. 3.1). Une communication rendue par l’administration, lorsqu’elle s’est contentée de recueillir l’avis du médecin traitant, ne peut se voir conférer la valeur d’une base de comparaison déterminante dans le temps. En revanche, une communication reposant sur une expertise et une constatation des faits pertinents d'ordre médical et leur incidence sur la capacité de gain de l'assuré peut être considérée comme une base de comparaison déterminante (arrêts du Tribunal fédéral 9C_76/2011 du 24 août 2011 consid. 5.1 et 9C_123/2011 du 7 novembre 2011 consid. 4).</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A/4040/2016 - 12/17 -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Cela étant, on ne peut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 du Tribunal fédéral 9C_ 578/2009 du 29 décembre 2009 consid. 3.2 in fine).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w:t>
      </w:r>
    </w:p>
    <w:p>
      <w:r>
        <w:t>A/4040/2016 - 13/17 -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ATAS/588/2013 du 11 juin 2013).</w:t>
      </w:r>
    </w:p>
    <w:p>
      <w:r>
        <w:rPr>
          <w:b/>
        </w:rPr>
        <w:t>E. 11</w:t>
      </w:r>
    </w:p>
    <w:p>
      <w:r>
        <w:t>En l’espèce, sur la base des rapports recueillis dans le cadre de la procédure de révision et de l’avis du SMR, l’intimé a considéré dans la décision attaquée qu’il ne pouvait « pas admettre l’existence d’une aggravation notable de [l’]état de santé [de l’assurée] ». D’emblée, il convient de relever que cette conclusion porte sur l’existence – en soi – de l’aggravation de l’état de santé invoquée par l’assurée et non sur sa plausibilité, de sorte que l’intimé est entré en matière sur le fond du litige en rejetant la demande de révision (arrêt du Tribunal fédéral 9C_127/2017 du 14 juin 2017 consid. 3.3). Cette conclusion s’impose d’autant plus que la décision attaquée, intitulée « refus d’augmentation de la rente d’invalidité », ne fait nullement mention d’un quelconque refus d’entrer en matière.</w:t>
      </w:r>
    </w:p>
    <w:p>
      <w:r>
        <w:rPr>
          <w:b/>
        </w:rPr>
        <w:t>E. 12</w:t>
      </w:r>
    </w:p>
    <w:p>
      <w:r>
        <w:t>a. Comme cela a été précédemment exposé (cf. supra consid. 7), lorsque l'administration entre en matière sur une nouvelle demande, elle doit en instruire les aspects médicaux et juridiques et s'assurer que la modification du degré d'invalidité rendue vraisemblable par l'assuré est effectivement survenue. Afin de déterminer si, du fait d’une aggravation de l’état de santé, le degré d’invalidité de la recourante s’était modifié, il appartenait en l’occurrence à l’OAI de comparer les faits tels qu’ils existaient lors de la communication du 11 juillet 2008 avec ceux qui prévalaient lors de la décision querellée. C’est le lieu de relever que la</w:t>
      </w:r>
    </w:p>
    <w:p>
      <w:r>
        <w:t>A/4040/2016 - 14/17 - communication du 11 juillet 2008 doit être assimilée à la dernière décision entrée en force, dès lors qu’elle reposait sur un examen matériel du droit à la rente. En effet, dans le cadre de la procédure de révision initiée d’office en 2007, l’administration avait suivi les conclusions de l’expertise psychiatrique qu’elle avait ordonnée, laquelle concluait à une capacité de travail de 50% dans une activité adaptée. L’administration avait par ailleurs actualisé le statut de l’assurée, en lui reconnaissant un statut d’active plutôt qu’un statut mixte, comme elle l’avait retenu jusqu’alors. b. Pour décider du maintien de la demi-rente en juillet 2008, l’administration s’était fondée, comme déjà exposé, sur l’expertise psychiatrique réalisée par les Drs D______ et E______. Après avoir posé les diagnostics de troubles mentaux et du comportement liés à l’utilisation d’héroïne avec syndrome de dépendance (actuellement abstinente), de troubles mentaux et du comportement liés à l’utilisation de cannabis avec syndrome de dépendance (utilisation continue), ainsi que de personnalité émotionnellement labile de type borderline, les experts avaient évalué la capacité de travail de l’assurée à 50% dans une activité répétitive, lui permettant de sortir occasionnellement, sans travaux en équipe ni supervision directe par un supérieur. Ils relataient que l’intéressée, ayant souffert de violences sexuelles durant l’enfance, présentait un trouble de la personnalité de type borderline et une dépendance au cannabis, secondaire à son trouble de la personnalité. Elle avait pu reprendre une activité professionnelle à temps partiel dans un kiosque, mais son trouble de la personnalité, son anxiété fluctuante, son humeur et son impulsivité ne permettaient pas, selon les experts, un taux d’activité supérieur à 50%. c. Dans la demande de révision qu’elle a déposée en mai 2015, l’assurée a invoqué une aggravation de son état de santé depuis le mois de juillet 2014 en relation avec une côte cervicale surnuméraire du côté droit, accompagnée de douleurs neurogènes et de blocages du membre supérieur droit. À l’appui de sa demande, elle a produit divers rapports émanant des Drs F______, G______, H______ ainsi que de sa psychothérapeute. Ces documents relataient que la côte surnuméraire entraînait une gêne presque quotidienne, handicapante dans la vie de tous les jours, avec des douleurs locales et des engourdissements neurologiques. L’assurée était entravée dans ses mouvements de l’épaule, en particulier vers le haut. Une intervention chirurgicale était envisagée mais comportait des risques significatifs (cf. rapport du Dr F______ du 12 novembre 2014 ; rapports des G______ et H______ des 4 février et 29 juin 2015). Selon sa psychothérapeute, l’intéressée souffrait également de troubles du sommeil liés à sa côte surnuméraire et paraissait inapte à assumer une activité rémunérée (cf. rapport de Mme I______ du 16 juillet 2015). À la demande de l’intimé, les Drs B______ et G______ ont complété deux rapports complémentaires en janvier et février 2016. La Dresse B______ a conclu à une capacité de travail nulle dans l’activité de serveuse, mais sans se prononcer sur la</w:t>
      </w:r>
    </w:p>
    <w:p>
      <w:r>
        <w:t>A/4040/2016 - 15/17 - capacité de travail dans une activité adaptée. Quant au Dr G______, il s’est borné à répondre que la côte surnuméraire cervicale ne « devrait » pas entraîner d’incapacité de travail (cf. rapports des 12 janvier et 8 février 2016). Finalement, dans un bref rapport de synthèse daté du 25 août 2016, le SMR a extrapolé des rapports versés au dossier que l’intéressée n’était plus en mesure d’exercer son activité de serveuse depuis août 2014, mais qu’elle demeurait capable d’exercer une activité adaptée à 50%, moyennant le respect de diverses limitations fonctionnelles relatives aux mouvements répétés du membre supérieur droit, aux mouvements au-dessus de l’horizontale et au port de charges. d. Contrairement à ce qu’a retenu l’intimé dans la décision attaquée, il résulte des documents produits à l’appui de la demande de révision que l’état de santé de l’assurée s’est bel et bien aggravé depuis la communication de 2008. En effet, il ressort de l’expertise réalisée en 2008 que sa capacité de travail n’était alors entravée que par des troubles psychiques. Ce n’est qu’à partir de 2014 qu’elle a souffert de troubles d’ordre somatique – côte cervicale surnuméraire, cervico-brachialgies et blocages du membre supérieur droit –, qui l’ont empêché de poursuivre son activité de serveuse. Ces atteintes n’avaient pas été prises en considération en 2008, de sorte qu’il convient d’admettre la survenance d’une aggravation de l’état de santé. Cela étant, la chambre de céans constate que les répercussions des atteintes somatiques énoncées sur la capacité de travail, en particulier dans une activité adaptée, n’ont pas été suffisamment investiguées. e. En effet, le rapport de synthèse établi par le SMR, à l’instar des autres rapports versés au dossier depuis la demande de révision, ne répond pas aux réquisits jurisprudentiels qui permettraient de lui reconnaître une pleine valeur probante : ses conclusions ne sont pas motivées et il omet de prendre en considération les limitations psychiques énumérées dans l’expertise de 2008. Il ne repose au demeurant pas sur des documents suffisamment probants, dès lors qu’aucun des médecins ayant examiné l’assurée depuis 2014 ne s’est prononcé de façon motivée sur sa capacité de travail dans une activité adaptée. Le Dr G______ a certes indiqué, dans un rapport laconique établi en février 2016 – plus d’une année après son seul entretien avec l’assurée – que la côte surnuméraire cervicale ne « devrait » pas entraîner d’incapacité de travail, mais il n’a pas motivé sa conclusion, qu’il a formulée de surcroît au conditionnel. Son rapport ne permet pas de se prononcer de manière fiable sur la capacité de travail, étant rappelé qu’il appartient au juge de statuer non pas sur la base de simples hypothèses mais de faits établis au degré de la vraisemblance prépondérante. Les autres médecins de l’assurée, en particulier les Drs F______, B______ et H______, ne se sont pas exprimés sur sa supposée capacité résiduelle de travail dans une activité adaptée. Dans ces conditions, le SMR ne pouvait conclure, sans investigation supplémentaire, que la recourante demeurait apte à exercer à 50% une activité adaptée, nonobstant l’aggravation de son état de santé. Enfin, on rappellera qu’il convient en règle générale de faire preuve de réserve par rapport à une appréciation médicale telle que celle rendue par</w:t>
      </w:r>
    </w:p>
    <w:p>
      <w:r>
        <w:t>A/4040/2016 - 16/17 - le SMR, dès lors qu'elle ne repose pas sur des observations cliniques auxquelles l'un de ses médecins aurait personnellement procédé, mais sur une appréciation fondée exclusivement sur les informations versées au dossier, lesquelles s’avèrent insuffisantes en l’occurrence (arrêt du Tribunal fédéral 9C_578/2009 du 29 décembre 2009 consid. 3.2 in fine).</w:t>
      </w:r>
    </w:p>
    <w:p>
      <w:r>
        <w:rPr>
          <w:b/>
        </w:rPr>
        <w:t>E. 13</w:t>
      </w:r>
    </w:p>
    <w:p>
      <w:r>
        <w:t>Dans la mesure où l’intimé était entré en matière sur la demande de révision, il lui appartenait d’instruire le dossier sous l’angle médical. Il a toutefois pris le parti de la rejeter, sans élucider à satisfaction de droit la capacité de travail de la recourante depuis l’aggravation survenue en 2014. Partant, le recours sera partiellement admis, la décision du 17 novembre 2016 annulée et la cause renvoyée à l’intimé pour qu’il ordonne une expertise selon la procédure prévue à l’art. 44 LPGA, puis rende une nouvelle décision. Ce n’est que si l’expertise confirme l’existence d’une capacité résiduelle de travail qu’il appartiendra à l’intimé d’examiner, comme il le propose, le droit de l’assurée à une mesure d’orientation professionnelle, voire à d’autres mesures d’ordre professionnel.</w:t>
      </w:r>
    </w:p>
    <w:p>
      <w:r>
        <w:rPr>
          <w:b/>
        </w:rPr>
        <w:t>E. 14</w:t>
      </w:r>
    </w:p>
    <w:p>
      <w:r>
        <w:t>La procédure de recours en matière de contestation portant sur l’octroi ou le refus de prestations de l’assurance-invalidité étant soumise à des frais de justice, un émolument de CHF 200.- est mis à charge de l’intimé (art. 69 al. 1 bis LAI).</w:t>
      </w:r>
    </w:p>
    <w:p>
      <w:r>
        <w:t>****</w:t>
      </w:r>
    </w:p>
    <w:p>
      <w:r>
        <w:t>A/4040/2016 - 17/17 -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