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ATAS/429/2015 vom 16. Juni 2015</w:t>
      </w:r>
    </w:p>
    <w:p>
      <w:r>
        <w:t>GE Cour de justice, 2015-06-16, FR</w:t>
      </w:r>
    </w:p>
    <w:p>
      <w:r>
        <w:rPr>
          <w:b/>
        </w:rPr>
        <w:t xml:space="preserve">Quelle: </w:t>
      </w:r>
      <w:r>
        <w:t>https://mcp.opencaselaw.ch/entscheid/ge_gerichte_ATAS_429_2015</w:t>
      </w:r>
    </w:p>
    <w:p>
      <w:r>
        <w:t>FR: GE_GERICHTE ATAS/429/2015 du 16 juin 2015</w:t>
      </w:r>
    </w:p>
    <w:p>
      <w:r>
        <w:t>IT: GE_GERICHTE ATAS/429/2015 del 16 giugno 2015</w:t>
      </w:r>
    </w:p>
    <w:p>
      <w:pPr>
        <w:pStyle w:val="Heading2"/>
      </w:pPr>
      <w:r>
        <w:t>Erwägungen</w:t>
      </w:r>
    </w:p>
    <w:p>
      <w:r>
        <w:rPr>
          <w:b/>
        </w:rPr>
        <w:t>E. 1</w:t>
      </w:r>
    </w:p>
    <w:p>
      <w:r>
        <w:t>Conformément à l'art. 134 al. 1 let. a ch. 2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14 octobre 2014 est postérieure à l’entrée en vigueur des modifications de la LAI susmentionnées.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w:t>
      </w:r>
    </w:p>
    <w:p>
      <w:r>
        <w:rPr>
          <w:b/>
        </w:rPr>
        <w:t>E. 4</w:t>
      </w:r>
    </w:p>
    <w:p>
      <w:r>
        <w:t>Le délai pour recourir contre la décision attaquée, notifiée le 17 octobre 2014, est arrivé à échéance le dimanche 16 novembre 2014, de sorte qu’il a été reporté au 17 novembre 2014 (art. 38 al. 3 LPGA). Interjeté dans la forme et le délai prévus par la loi, le recours est recevable (art. 56ss LPGA; art. 89B de la loi sur la procédure administrative du 12 septembre 1985 [LPA ; RSG E 5 10]).</w:t>
      </w:r>
    </w:p>
    <w:p>
      <w:r>
        <w:rPr>
          <w:b/>
        </w:rPr>
        <w:t>E. 5</w:t>
      </w:r>
    </w:p>
    <w:p>
      <w:r>
        <w:t>Le litige porte sur le droit de la recourante à des prestations de la part de l’intimé, singulièrement sur son degré d’invalidité.</w:t>
      </w:r>
    </w:p>
    <w:p>
      <w:r>
        <w:t>A/3506/2014 - 13/22 -</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t>A/3506/2014 - 14/22 -</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On ajoutera qu’en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w:t>
      </w:r>
    </w:p>
    <w:p>
      <w:r>
        <w:t>A/3506/2014 - 15/22 -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Pour les personnes qui exercent partiellement une activité lucrative et se consacrent en outre à leurs travaux habituels, tel que le ménage, il sied d'appliquer la méthode mixte pour établir le degré d'invalidité. La perte de gain dans l'activité lucrative est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w:t>
      </w:r>
    </w:p>
    <w:p>
      <w:r>
        <w:rPr>
          <w:b/>
        </w:rPr>
        <w:t>E. 9</w:t>
      </w:r>
    </w:p>
    <w:p>
      <w:r>
        <w:t>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La mesure dans laquelle les salaires ressortant des statistiques doivent être réduits, dépend de l'ensemble des circonstances personnelles et professionnelles du cas particulier</w:t>
      </w:r>
    </w:p>
    <w:p>
      <w:r>
        <w:t>A/3506/2014 - 16/22 -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w:t>
      </w:r>
    </w:p>
    <w:p>
      <w:r>
        <w:rPr>
          <w:b/>
        </w:rPr>
        <w:t>E. 10</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b. Pour satisfaire à l'obligation de réduire le dommage (voir ATF 129 V 463 consid. 4.2 et ATF 123 V 233 consid. 3c ainsi que les références), une personne qui s'occupe du ménage doit faire ce que l'on peut raisonnablement attendre d'elle afin d'améliorer sa capacité de travail et réduire les effets de l'atteinte à la santé ; elle</w:t>
      </w:r>
    </w:p>
    <w:p>
      <w:r>
        <w:t>A/3506/2014 - 17/22 -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 arrêt du Tribunal fédéral des assurances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w:t>
      </w:r>
    </w:p>
    <w:p>
      <w:r>
        <w:t>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w:t>
      </w:r>
    </w:p>
    <w:p>
      <w:r>
        <w:t>A/3506/2014 - 18/22 -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des assurances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la recourante ne conteste ni l’application de la méthode mixte d’évaluation de l’invalidité, ni la proportion respective entre les activités lucrative et ménagère, mais remet en cause les taux d’invalidité retenus dans les deux sphères.</w:t>
      </w:r>
    </w:p>
    <w:p>
      <w:r>
        <w:rPr>
          <w:b/>
        </w:rPr>
        <w:t>E. 14</w:t>
      </w:r>
    </w:p>
    <w:p>
      <w:r>
        <w:t>a. En ce qui concerne la part professionnelle, il est rappelé que la décision querellée est fondée sur les conclusions du rapport du CEMed du 24 février 2014, à savoir que la recourante ne peut plus exercer sa profession habituelle en raison de ses atteintes ostéoarticulaires, mais conserve une pleine capacité de travail dans une activité adaptée à ses limitations fonctionnelles. Les experts ont considéré que le diagnostic d’épisode dépressif d’intensité légère à moyenne n’avait aucune influence sur la capacité de travail, ajoutant qu’ils ne pouvaient pas retenir le diagnostic de dépression sévère en raison de l’hygiène soignée, de l’absence de troubles cognitifs, de rumination, de labilité émotionnelle et d’irritabilité, mais également du fait que la recourante n’avait qu’un entretien psychothérapeutique par mois et ne semblait plus avoir besoin d’un traitement anxiolytique et antidépresseur puisqu’elle ne prenait que du Valverde, très léger, depuis un mois.</w:t>
      </w:r>
    </w:p>
    <w:p>
      <w:r>
        <w:t>A/3506/2014 - 19/22 -</w:t>
      </w:r>
    </w:p>
    <w:p>
      <w:r>
        <w:t>b. La recourante ne s’oppose pas à l’appréciation de l’intimé en ce qui concerne ses troubles somatiques, mais conteste les conclusions des experts du CEMed relatives au volet psychique. Elle produit à cet égard un rapport de la Dresse I______ attestant que le traitement antidépresseur a été interrompu brièvement à l’époque de l’expertise, soit en janvier et février 2014, mais qu’il a été réintroduit en mars 2014 et est toujours prescrit (rapport du 19 novembre 2014).</w:t>
      </w:r>
    </w:p>
    <w:p>
      <w:r>
        <w:t>Force est de constater que les précisions apportées par la Dresse I______ sont suffisamment pertinentes pour remettre en cause l’évaluation des experts concernant le degré de gravité de l’état dépressif et ses éventuelles répercussions sur la capacité de travail de la recourante. En effet, il appert que les conclusions des experts, lesquels sont partis du principe que l’état psychique de la recourante ne requérait plus de traitement anxiolytique et antidépresseur, sont fondées sur des prémisses en partie inexactes.</w:t>
      </w:r>
    </w:p>
    <w:p>
      <w:r>
        <w:t>Au surplus, il sied de relever que le diagnostic psychique retenu est insuffisamment motivé. Il n’a en particulier pas été confronté aux critères de la CIM-10 (Classification internationale des maladies et des problèmes de santé connexes, 10ème édition, OMS) ou DSM-IV (Manuel diagnostique et statistique des troubles mentaux), et les experts n’ont pas précisé quelle description des symptômes correspondait à un état dépressif léger ou majeur.</w:t>
      </w:r>
    </w:p>
    <w:p>
      <w:r>
        <w:t>La chambre de céans rappellera encore que la psychiatre traitante de la recourante a retenu l’existence d’un trouble dépressif récurrent existant depuis 1997 (rapport de la Dresse I______ du 6 avril 2011), lequel a été qualifié de moyen en automne 2010 et a alors nécessité l’augmentation du traitement antidépresseur (rapport du 4 janvier 2011 de la clinique genevoise de Montana). D’autres médecins, certes non spécialistes en psychiatrie ou psychothérapie, ont également relevé que l’état psychique de la recourante avait une influence sur sa capacité de travail (rapports du Dr E______ du 16 février 2011, de la Dresse H______ du 4 avril 2011), qu’il s’était aggravé (rapport du Dr G______ du 7 janvier 2013), et empêchait la recourante de suivre un programme de réhabilitation (rapports du Dr F______ des 11 mars 2011 et 8 février 2013).</w:t>
      </w:r>
    </w:p>
    <w:p>
      <w:r>
        <w:t>Partant, les conclusions du rapport d’expertise relatives au volet psychique ne permettent pas d’admettre ou d’exclure l’existence d’une maladie ayant des répercussions sur la capacité de travail de la recourante.</w:t>
      </w:r>
    </w:p>
    <w:p>
      <w:r>
        <w:rPr>
          <w:b/>
        </w:rPr>
        <w:t>E. 15</w:t>
      </w:r>
    </w:p>
    <w:p>
      <w:r>
        <w:t>a. Pour les travaux habituels, l’intimé s’est référé aux conclusions de l’enquête économique sur le ménage réalisée en août 2012 au domicile de la recourante, document fixant l’empêchement total pondéré à 14,5%.</w:t>
      </w:r>
    </w:p>
    <w:p>
      <w:r>
        <w:t>La recourante ne conteste pas la pondération des différents champs d'activité, mais uniquement l'appréciation de son incapacité d'effectuer les tâches en question. Elle s'étonne en particulier du fait que le taux d'empêchement retenu diverge significativement de l'incapacité totale d'exercer son ancienne profession sur le plan médical.</w:t>
      </w:r>
    </w:p>
    <w:p>
      <w:r>
        <w:t>A/3506/2014 - 20/22 -</w:t>
      </w:r>
    </w:p>
    <w:p>
      <w:r>
        <w:t>b. La chambre de céans rappellera préalablement à l’attention de la recourante que le Tribunal fédéral a déjà eu l’occasion de juger qu'une activité de nettoyeuse professionnelle ou de femme de ménage ne saurait être comparée à la tenue du foyer familial qui recouvre nombre d'activités sans exigence physique particulière (planification, organisation, répartition du travail, contrôle) ou dont les exigences dépendent directement de la taille du ménage et du nombre de ses occupants (préparation des repas, entretien du linge, emplettes etc.). La tenue d'un ménage privé permet, par ailleurs, des adaptations de l'activité aux problèmes physiques qui ne sont pas nécessairement compatibles avec les exigences de rendement propres à l'exercice similaire dans un contexte professionnel (arrêt du Tribunal fédéral des assurances I 593/03 du 13 avril 2005 consid. 5.3).</w:t>
      </w:r>
    </w:p>
    <w:p>
      <w:r>
        <w:t>Cela étant, le rapport d'enquête est critiquable à plusieurs égards.</w:t>
      </w:r>
    </w:p>
    <w:p>
      <w:r>
        <w:t>Tout d’abord, il ne mentionne pas toutes les restrictions résultant des diagnostics médicaux. Il est rappelé que le Dr K______ avait retenu que l’atteinte au genou justifiait une limitation dans les positions debout statiques (plus d’une demi-heure), dans les activités nécessitant de monter ou descendre des escaliers, et que les troubles empêchaient l’agenouillement ou l’accroupissement du membre inférieur droit. L’atteinte lombaire quant à elle justifiait une limitation des ports de charges de plus de 10 kg de façon répétée, les positions debout le tronc penché en avant de façon prolongée, ainsi que les mouvements répétitifs du tronc en flexion ou extension. Or, le rapport d’enquête ne se réfère qu’aux limitations fonctionnelles en lien avec les troubles lombaires (alternance des positions assise et debout, pas de position penchée en avant, pas port de charges, pas de mouvement brusque du tronc en avant), sans citer les restrictions dues à la gonarthrose tricompartimentale.</w:t>
      </w:r>
    </w:p>
    <w:p>
      <w:r>
        <w:t>De plus, le résultat des observations effectuées n’est pas suffisamment détaillé et manque de motivation.</w:t>
      </w:r>
    </w:p>
    <w:p>
      <w:r>
        <w:t>A titre d’exemple, pour le poste lié à l’alimentation, l’enquêtrice a décrit la situation actuelle, sans la comparer à celle qui prévalait avant les atteintes à la santé. Savoir que la recourante cuisine des repas « plus simples », achète souvent des mets préparés, n’invite plus et mange fréquemment chez sa sœur, ne permet pas d’évaluer l’empêchement correspondant à ce poste, faute de connaître à quelles tâches ou activités la recourante a dû renoncer en raison de ses problèmes de santé.</w:t>
      </w:r>
    </w:p>
    <w:p>
      <w:r>
        <w:t>Il en va de même pour les emplettes et courses diverses, poste pour lequel l’intimé n’a retenu aucun empêchement. La recourante, limitée dans le périmètre de marche et le port de charge, ne fait que les petits achats quotidiens, son mari s’occupant des courses plus importantes, mais aucune indication n’est donnée concernant la répartition antérieure entre les conjoints. En outre, il ressort de l’enquête que certaines tâches ne sont tout simplement plus accomplies, à l’instar des grands nettoyages (des placards, des boiseries des portes et des fenêtres), ou confiées à des tiers non rémunérés (nettoyage des vitres par la sœur), sans qu’il soit précisé si les restrictions ostéoarticulaires contre-indiquent</w:t>
      </w:r>
    </w:p>
    <w:p>
      <w:r>
        <w:t>A/3506/2014 - 21/22 - effectivement ces activités et si l’enquêtrice retient qu’il incombe à l’époux de la recourante de s’en charger à sa place.</w:t>
      </w:r>
    </w:p>
    <w:p>
      <w:r>
        <w:t>La chambre de céans relève également qu’aucun empêchement n’est retenu en ce qui concerne le poste « divers », et ce sans aucune explication.</w:t>
      </w:r>
    </w:p>
    <w:p>
      <w:r>
        <w:t>Enfin, les seules indications fournies au sujet du mari de la recourante sont qu’il est né en 1965, est chauffeur de profession, et « ne rentre pas » pour les repas. En particulier, l’enquêtrice n’a pas indiqué si cette dernière annotation concernaient les repas de midi ou également ceux du soir, si le mari de la recourante travaillait à temps complet ou à temps partiel, s’il était en bonne santé habituelle. En outre, aucune information n’est apportée concernant sa participation antérieure aux courses diverses ou à la préparation des repas. La chambre de céans n’est donc pas en mesure de se prononcer définitivement sur l’exigibilité qui peut être mise à la charge du mari de la recourante.</w:t>
      </w:r>
    </w:p>
    <w:p>
      <w:r>
        <w:t>Compte tenu de tout ce qui précède, le rapport d’enquête ménagère ne se révèle pas probant et les degrés d’empêchement pondéré et d’invalidité ne peuvent être confirmés.</w:t>
      </w:r>
    </w:p>
    <w:p>
      <w:r>
        <w:rPr>
          <w:b/>
        </w:rPr>
        <w:t>E. 16</w:t>
      </w:r>
    </w:p>
    <w:p>
      <w:r>
        <w:t>En conclusion, la chambre de céans considère que l’instruction du dossier est incomplète. Elle annulera la décision attaquée et renverra le dossier à l’intimé pour instruction complémentaire et nouvelle décision. Il incombe à l’intimé de requérir un complément d’instruction sur le plan psychiatrique auprès des experts du CEMed, afin que ceux-ci se déterminent à nouveau à la lumière du rapport de la Dresse I______ du 19 novembre 2014 et motivent leurs conclusions quant au diagnostic, à son degré de gravité et ses répercussions sur la capacité de travail de la recourante.</w:t>
      </w:r>
    </w:p>
    <w:p>
      <w:r>
        <w:t>Il revient également à l’intimé de solliciter une nouvelle enquête économique sur le ménage, laquelle devra tenir compte de toutes les limitations fonctionnelles, dont celles résultant d’une éventuelle atteinte à la santé psychique, et mentionner clairement quelles sont les tâches que la recourante ne peut plus réaliser à cause de ses problèmes de santé, et s’il incombe à son époux de s’en charger, cas échéant dans quelle mesure.</w:t>
      </w:r>
    </w:p>
    <w:p>
      <w:r>
        <w:rPr>
          <w:b/>
        </w:rPr>
        <w:t>E. 17</w:t>
      </w:r>
    </w:p>
    <w:p>
      <w:r>
        <w:t>La recourante, représentée par un conseil, obtenant gain de cause, une indemnité de CHF 1'000.- lui est octroyée à titre de dépens, à la charge de l’itimé (art. 61 let. g LPGA et 89H al. 1 LPA).</w:t>
      </w:r>
    </w:p>
    <w:p>
      <w:r>
        <w:t>La procédure de recours en matière de contestations portant sur l’octroi ou le refus de prestations de l’assurance-invalidité étant soumise à des frais de justice (art. 69 al. 1bis LAI), un émolument de CHF 200.- sera mis à la charge de l’intimé. * * * * * *</w:t>
      </w:r>
    </w:p>
    <w:p>
      <w:r>
        <w:t>A/3506/2014 - 22/22 -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