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ATAS/429/2013 vom 8. Mai 2013</w:t>
      </w:r>
    </w:p>
    <w:p>
      <w:r>
        <w:t>GE Cour de justice, 2013-05-08, FR</w:t>
      </w:r>
    </w:p>
    <w:p>
      <w:r>
        <w:rPr>
          <w:b/>
        </w:rPr>
        <w:t xml:space="preserve">Quelle: </w:t>
      </w:r>
      <w:r>
        <w:t>https://mcp.opencaselaw.ch/entscheid/ge_gerichte_ATAS_429_2013</w:t>
      </w:r>
    </w:p>
    <w:p>
      <w:r>
        <w:t>FR: GE_GERICHTE ATAS/429/2013 du 8 mai 2013</w:t>
      </w:r>
    </w:p>
    <w:p>
      <w:r>
        <w:t>IT: GE_GERICHTE ATAS/429/2013 del 8 maggio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 délai et la forme prescrits par la loi, le recours est recevable (art. 56 ss LPGA).</w:t>
      </w:r>
    </w:p>
    <w:p>
      <w:r>
        <w:rPr>
          <w:b/>
        </w:rPr>
        <w:t>E. 3</w:t>
      </w:r>
    </w:p>
    <w:p>
      <w:r>
        <w:t>Est litigieuse en l’occurrence la question de savoir si l’état de santé de la recourante s’est aggravé, de sorte que le droit aux prestations de l’assurance-invalidité lui est ouvert.</w:t>
      </w:r>
    </w:p>
    <w:p>
      <w:r>
        <w:t>A/3745/2012 - 13/17 -</w:t>
      </w:r>
    </w:p>
    <w:p>
      <w:r>
        <w:rPr>
          <w:b/>
        </w:rPr>
        <w:t>E. 4</w:t>
      </w:r>
    </w:p>
    <w:p>
      <w:r>
        <w:t>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L'art. 17 LPGA est également applicable par analogie aux prestations de réadaptation (cf. ATF 9C_413/2008 du 14 novembre 2008, consid. 1.2 ; ATF 109 V 119).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A/3745/2012 - 14/17 - d’une incapacité de gain. De plus, il n’y a incapacité de gain que si celle-ci n’est pas objectivement surmontable (al. 2 en vigueur dès le 1er janvier 2008).</w:t>
      </w:r>
    </w:p>
    <w:p>
      <w:r>
        <w:rPr>
          <w:b/>
        </w:rPr>
        <w:t>E. 6</w:t>
      </w:r>
    </w:p>
    <w:p>
      <w:r>
        <w:t>Selon l'art. 28a LAI, l'art. 16 LPGA s’applique à l’évaluation de l’invalidité des assurés exerçant une activité lucrative. Le Conseil fédéral fixe le revenu déterminant pour l’évaluation de l’invalidité (al. 1).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Pour évaluer le taux d'invalidité dans l'activité lucrative,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7</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 (art. 28 al. 2 LAI).</w:t>
      </w:r>
    </w:p>
    <w:p>
      <w:r>
        <w:rPr>
          <w:b/>
        </w:rPr>
        <w:t>E. 8</w:t>
      </w:r>
    </w:p>
    <w:p>
      <w:r>
        <w:t>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w:t>
      </w:r>
    </w:p>
    <w:p>
      <w:r>
        <w:t>A/3745/2012 - 15/17 -</w:t>
      </w:r>
    </w:p>
    <w:p>
      <w:r>
        <w:rPr>
          <w:b/>
        </w:rPr>
        <w:t>E. 9</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10</w:t>
      </w:r>
    </w:p>
    <w:p>
      <w:r>
        <w:t>En l’espèce, la recourante a été soumise à une expertise dans le cadre de la procédure de révision. Selon la Dresse Q__________, il n’y a aucun diagnostic avec influence sur la capacité de travail sur le plan psychiatrique et celle-ci est complète depuis juillet 2010 sans limitation de rendement. Néanmoins, l’experte constate que le status est superposable à celui décrit par le Dr O__________ dans son expertise du 9 juillet 2010. Cela étant, en ce que l’experte arrive à la conclusion que la capacité de travail est complète sans diminution de rendement, elle procède à une appréciation différente de celle de l’expert judiciaire mandaté précédemment, selon lequel il y avait une diminution de rendement de 40% pour des raisons psychiques. En tout état de cause, la Dresse Q__________ ne constate aucune aggravation de l'état de santé de la recourante. En ce qui concerne les appréciations divergentes des médecins traitants, notamment du Dr H__________, il y a lieu de constater que ce médecin avait déjà certifié en mai 2009 une incapacité de travail complète sur le plan psychiatrique depuis avril 2007 et qu’il ne fait que reprendre dans les nouveaux certificats produits par la recourante les mêmes diagnostics et évaluations de la capacité de travail. Toutefois, sur le plan physique, une protrusion discale C5-C6 venant au contact du cordon médullaire, sans signe de myélopathie, et une arthrose à ce niveau ont été mis en évidence par l'IRM réalisée en août 2011. Cette affection constitue indéniablement une aggravation de l'état de santé de la recourante, dès lors que l'examen rhumatologique effectué en 2009 par le SMR n'en faisait pas état. Cependant, le Dr S__________ n'a pas pour autant retenu une incapacité de travail dans une activité adaptée, dès lors qu'il a uniquement attesté que la recourante peut seulement assurer un travail adapté à son état physique. Il est à noter à cet égard que les médecins du SMR avaient déjà en 2009 retenu des limitations fonctionnelles suivantes: nécessité d'alterner deux fois par heure des positions</w:t>
      </w:r>
    </w:p>
    <w:p>
      <w:r>
        <w:t>A/3745/2012 - 16/17 - assise et debout, absence de soulèvement régulier de charges de plus de 5kg, de port régulier de charges de plus de 12kg, de travail en porte-à-faux statique prolongé, d'exposition à des vibrations, d'élévation ou d'abduction de l'épaule gauche à plus de 60°, de génuflexions répétées et de franchissement régulier d'escabeau, échelles ou escaliers. Donc, seule une activité légère entrait en considération à l'époque. Par ailleurs, il sied de rappeler que la recourante n'aurait travaillé qu'à 40% si elle n'était pas invalide, selon ses propres déclarations et comme l'a retenu le Tribunal cantonal des assurances sociales dans son arrêt du 15 septembre 2010. Partant, au degré de la vraisemblance prépondérante, il y a lieu d'admettre qu'en dépit de la hernie discale et de l'arthrose au niveau cervical, la recourante a conservé une capacité de travail de 40% dans une activité adaptée. En ce qui concerne la capacité de travail dans le ménage, la Dresse Q__________ a mentionné dans son expertise que la recourante assumait seule son ménage de sept personnes, s’occupait des tâches ménagères, des lessives, des courses et des repas. Partant, par rapport aux constatations de l'enquête économique sur le ménage réalisé en octobre 2009, selon lesquelles les empêchements dans ce domaine ne représentaient que 9,5%, il doit être constaté qu'il n'y a pas non plus une augmentation des empêchements, étant rappelé que déjà à l'époque la recourante ne pouvait plus faire les gros travaux de nettoyage ni passer l'aspirateur. A cet égard, il y a lieu de relever que l'incapacité de travail dans le ménage, au taux d'activité de 60% retenu, devrait être presque de 70% pour donner droit à une rente d'un quart, dans la mesure où la capacité de travail dans la sphère professionnelle, au taux de 40%, est entière (60% de 70% =42%). Cela étant, il sied de retenir que la capacité de travail, dans une activité lucrative et dans le ménage, et par conséquent le degré d'invalidité sont restés identiques à ceux constatés dans l'arrêt rendu précédemment. Il n’y a par conséquent pas lieu de réviser la décision du 30 novembre 2009 de l’intimé.</w:t>
      </w:r>
    </w:p>
    <w:p>
      <w:r>
        <w:rPr>
          <w:b/>
        </w:rPr>
        <w:t>E. 11</w:t>
      </w:r>
    </w:p>
    <w:p>
      <w:r>
        <w:t>En ce qui concerne la demande de la recourante d’entendre les Drs S__________ et H__________, ainsi que d'ordonner une expertise judiciaire, elle sera rejetée, l'instruction paraissant complète au vu des certificats de ces médecins que la recourante a produits, et de l'expertise de la Dresse Q__________.</w:t>
      </w:r>
    </w:p>
    <w:p>
      <w:r>
        <w:rPr>
          <w:b/>
        </w:rPr>
        <w:t>E. 12</w:t>
      </w:r>
    </w:p>
    <w:p>
      <w:r>
        <w:t>Le recours sera dès lors rejeté.</w:t>
      </w:r>
    </w:p>
    <w:p>
      <w:r>
        <w:rPr>
          <w:b/>
        </w:rPr>
        <w:t>E. 13</w:t>
      </w:r>
    </w:p>
    <w:p>
      <w:r>
        <w:t>La recourante étant entièrement à la charge de l'Hospice général, la Cour renonce à percevoir un émolument de justice.</w:t>
      </w:r>
    </w:p>
    <w:p>
      <w:r>
        <w:t>A/3745/2012 - 17/17 -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