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ATAS/428/2025 vom 4. Juni 2025</w:t>
      </w:r>
    </w:p>
    <w:p>
      <w:r>
        <w:t>GE Cour de justice, 2025-06-04, FR</w:t>
      </w:r>
    </w:p>
    <w:p>
      <w:r>
        <w:rPr>
          <w:b/>
        </w:rPr>
        <w:t xml:space="preserve">Quelle: </w:t>
      </w:r>
      <w:r>
        <w:t>https://mcp.opencaselaw.ch/entscheid/ge_gerichte_ATAS_428_2025</w:t>
      </w:r>
    </w:p>
    <w:p>
      <w:r>
        <w:t>FR: GE_GERICHTE ATAS/428/2025 du 4 juin 2025</w:t>
      </w:r>
    </w:p>
    <w:p>
      <w:r>
        <w:t>IT: GE_GERICHTE ATAS/428/2025 del 4 giugno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à une rente entière d’invalidité.</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w:t>
      </w:r>
    </w:p>
    <w:p>
      <w:r>
        <w:t>A/495/2024 - 8/11 -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litige porte sur la quotité de la rente d’invalidité, dont il n’est pas contesté que le droit est né postérieurement au 31 décembre 2021, de sorte que les dispositions légales applicables seront citées dans leur nouvelle teneur.</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4.3</w:t>
      </w:r>
    </w:p>
    <w:p>
      <w:r>
        <w:t>Pour pouvoir calculer le degré d’invalidité, l’administration (ou le juge, s’il y a eu un recours) a besoin de documents qu’un médecin, éventuellement d’autres spécialistes, doivent lui fournir.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w:t>
      </w:r>
    </w:p>
    <w:p>
      <w:r>
        <w:t>A/495/2024 - 9/11 - les conclusions de l'expert soient bien motivées (ATF 134 V 231 consid. 5.1 ; 133 V 450 consid. 11.1.3 ; 125 V 351 consid. 3). Lorsqu'un cas d'assurance est réglé sans avoir recours à une expertise dans une procédure au sens de l'art. 44 LPGA, l'appréciation des preuves est soumise à des exigences sévères.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I 751/03 du 19 mars 2004 consid. 3.3).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5</w:t>
      </w:r>
    </w:p>
    <w:p>
      <w:r>
        <w:t>En l’espèce, la chambre de céans constate que la décision querellée repose essentiellement sur un rapport manuscrit du Dr C______ du 1er février 2023, qui retenait que le recourant serait capable de travailler dans une activité adaptée à 100% dans un délai peu lisible, qui pouvait correspondre à un mois ou à un an. Dans son rapport du 22 août 2024, le Dr C______ a indiqué que suite à l’intervention du 15 février 2022, ayant pour but la réparation des tendons des muscles de la coiffe des rotateurs, la mobilité de l’épaule du recourant avait rapidement progressé, mais que cette épaule était restée toujours dominée par des phénomènes douloureux. Cela correspondait manifestement à une cicatrisation insuffisante des tendons des muscles de la coiffe des rotateurs et à une insuffisance d’épaisseur des tendons cicatrisés. Dans ce contexte, à un an de l’intervention de l’épaule droite, il paraissait difficile de remettre l’assuré au même poste de travail, mais il existait un espoir d’amélioration progressive des tendons réparés dans un délai raisonnable d’un an. Il résulte de ce dernier rapport qu’en février 2023, le Dr C______ estimait que l’état de santé du recourant pouvait s’améliorer dans le délai d’un an. Ainsi, le délai évoqué dans son rapport du 1er février 2023, dans lequel le recourant pourrait être capable de travailler dans une activité adaptée à 100%, était d’un an et non d’un mois. Dès lors, ce dernier ne pouvait pas retenir que la capacité de travail du</w:t>
      </w:r>
    </w:p>
    <w:p>
      <w:r>
        <w:t>A/495/2024 - 10/11 - recourant était de 100% dans une activité adaptée dès mars 2023, ce qui correspond à une lecture erronée du rapport du Dr C______ du 1er février 2023. Dans son rapport du 18 mars 2024, le Dr C______ qui certifiait que le recourant ne pouvait plus travailler quelle que soit l’activité professionnelle en raison des séquelles de son épaule droite et de son rachis lombaire. Dans son rapport du 22 août 2024, ce médecin indiquait que l’état de santé du recourant n’avait pas évolué favorablement et que toute activité manuelle restait douloureuse. Son état s’était en outre aggravé au courant de l’année 2022 avec des phénomènes douloureux du rachis. Toute activité professionnelle était impossible pour le recourant au vue de l’ensemble des pathologies. Ces deux derniers rapports remettent sérieusement en cause le pronostic de reprise d’une activité retenue par le Dr C______ dans son rapport du 1er février 2023, qui a fondé la décision querellée. Cette décision doit en conséquence être annulée et la cause renvoyée à l’intimé pour instruction complémentaire sur le plan orthopédique afin déterminer si le recourant a retrouvé une capacité de travail dans une activité adaptée à ses limitations et cas échéant depuis quand. La chambre de céans a en outre constaté, lors de son audience du 7 mai 2025, que le recourant semblait également atteint dans sa santé psychique dans une mesure qui pourrait être invalidante, quand bien même il n’en a pas forcément conscience et qu’une instruction complémentaire doit également faite sur ce plan.</w:t>
      </w:r>
    </w:p>
    <w:p>
      <w:r>
        <w:rPr>
          <w:b/>
        </w:rPr>
        <w:t>E. 6</w:t>
      </w:r>
    </w:p>
    <w:p>
      <w:r>
        <w:t>Il y a en conséquence lieu d’admettre partiellement le recours, d’annuler la décision querellée et de renvoyer la cause à l’intimé pour qu’il fasse procéder à une expertise bidisciplinaire du recourant (orthopédique et psychiatrique), au sens de l’art. 44 LPGA. Au vu du sort du recours, il y a lieu de condamner l'intimé au paiement d'un émolument de CHF 200.- (art. 69 al. 1bis LAI).</w:t>
      </w:r>
    </w:p>
    <w:p>
      <w:r>
        <w:t>A/495/2024 - 11/11 -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