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ATAS/428/2011 vom 3. Mai 2011</w:t>
      </w:r>
    </w:p>
    <w:p>
      <w:r>
        <w:t>GE Cour de justice, 2011-05-03, FR</w:t>
      </w:r>
    </w:p>
    <w:p>
      <w:r>
        <w:rPr>
          <w:b/>
        </w:rPr>
        <w:t xml:space="preserve">Quelle: </w:t>
      </w:r>
      <w:r>
        <w:t>https://mcp.opencaselaw.ch/entscheid/ge_gerichte_ATAS_428_2011</w:t>
      </w:r>
    </w:p>
    <w:p>
      <w:r>
        <w:t>FR: GE_GERICHTE ATAS/428/2011 du 3 mai 2011</w:t>
      </w:r>
    </w:p>
    <w:p>
      <w:r>
        <w:t>IT: GE_GERICHTE ATAS/428/2011 del 3 maggio 2011</w:t>
      </w:r>
    </w:p>
    <w:p>
      <w:pPr>
        <w:pStyle w:val="Heading2"/>
      </w:pPr>
      <w:r>
        <w:t>Erwägungen</w:t>
      </w:r>
    </w:p>
    <w:p>
      <w:r>
        <w:rPr>
          <w:b/>
        </w:rPr>
        <w:t>E. 1</w:t>
      </w:r>
    </w:p>
    <w:p>
      <w:r>
        <w:t>Conformément à l'art. 134 al. 1 let. a ch. 2 de la loi sur l'organisation judiciaire, du 9 octobre 2009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Le litige porte sur la question de savoir si c’est à juste titre que l’intimé a nié à la recourante tout droit à des prestations, singulièrement, si la fibromyalgie dont elle souffre peut être qualifiée d'invalidante.</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w:t>
      </w:r>
    </w:p>
    <w:p>
      <w:r>
        <w:t>A/99/2011 - 9/14 -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w:t>
      </w:r>
    </w:p>
    <w:p>
      <w:r>
        <w:t>A/99/2011 - 10/14 -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7</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A/99/2011 - 11/14 -</w:t>
      </w:r>
    </w:p>
    <w:p>
      <w:r>
        <w:rPr>
          <w:b/>
        </w:rPr>
        <w:t>E. 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En l'espèce, l'intimé s'est basé, pour rendre la décision litigieuse, sur l'avis de la Dresse F_________, médecin auprès du SMR, a conclu à l'absence d''atteinte invalidante et préconisé la reprise de l'activité professionnelle habituelle avec l’aide d’un coach. La Cour de céans constate cependant que les éléments résultant du dossier et de l’instruction mise en œuvre contrastent avec l’avis du médecin du SMR. En effet, d’un point de vue psychiatrique, le Dr D_________ a notamment expliqué que la recourante souffre d’un syndrome somatoforme persistant ainsi que d’un trouble anxio-dépressif de gravité moyenne à sévère, que son état est fluctuant et que le pronostic n'est pas bon. Elle lui paraît totalement incapable de remplir ses obligations professionnelles, ménagères ou mêmes sociales. D’après ce médecin, l’état psychique de la recourante est cristallisé et elle souffre d'un net ralentissement psychomoteur. Par ailleurs, toutes les mesures médicales avaient été tentées, à l'exception d'un suivi par un psychiatre parlant sa langue maternelle, faute d'en avoir un à disposition. Outre le fait que des troubles psychiatriques ont également été relevés par le Dr C_________, les déclarations du Dr D_________ sont confirmées par les observations de l'inspecteur des sinistres de l’assureur perte de gain, d'une part, d'un un collaborateur de l’intimé, d'autre part : ceux-ci l'ont décrite comme repliée et renfermée sur elle-même; il est au surplus ressorti de ces entretiens que l'assurée ne sort quasiment plus de chez elle, qu’elle ne s’intéresse à rien et qu’elle participe même pas aux tâches ménagères. Au vu de ce qui précède, il apparait que la problématique psychique mise en exergue par le psychiatre traitant de la recourante est d’une gravité bien plus importante que ne l’a retenu la Dresse F_________ et pourrait réduire la capacité de travail de la recourante de manière conséquente.</w:t>
      </w:r>
    </w:p>
    <w:p>
      <w:r>
        <w:t>A/99/2011 - 12/14 - Partant, la Cour de céans considère qu'elle ne dispose pas des éléments suffisants pour statuer de manière définitive sur les conséquences de l'état de santé de la recourante sur sa capacité de travail et plus particulièrement sur la question de savoir si ses troubles peuvent se voir reconnaitre un caractère invalidant. La Cour de céans entend donc mettre en œuvre une expertise bidisciplinaire, rhumatologique et psychiatrique, comme déjà proposé dans le cadre de la procédure administrative par le Dr C_________. L’expertise sera confiée au Dr G_________, spécialiste FMH en psychiatrie, et au Dr H_________, spécialiste FMH en rhumatologie, lesquels devront prendre tous les renseignement nécessaires auprès des médecins ayant examiné la recourante.</w:t>
      </w:r>
    </w:p>
    <w:p>
      <w:r>
        <w:t>PAR CES MOTIFS, LA CHAMBRE DES ASSURANCES SOCIALES :</w:t>
      </w:r>
    </w:p>
    <w:p>
      <w:r>
        <w:t>Statuant préparatoirement</w:t>
      </w:r>
    </w:p>
    <w:p>
      <w:r>
        <w:t>1. Ordonne une expertise rhumato-psychiatrique, les experts ayant pour mission d’examiner et d’entendre l’assurée, après s’être entourés de tous les éléments utiles et après avoir pris connaissance du dossier de l’OAI, ainsi que du dossier de la présente procédure et si nécessaire, prendre tous les renseignements auprès des médecins ayant traité l’assuré. Les experts sont invités à s'assurer le concours d'un interprète albanais. 2. Charge les experts d’établir un rapport détaillé et de répondre aux questions suivantes : a. Quelle est l’anamnèse détaillée du cas ? b. Quelles sont les plaintes de l’assurée ? c. Quelles sont vos constatations objectives ? d. Quels diagnostics rhumatologique(s) et psychiatrique(s) retenez-vous ? Depuis quand ? e. En cas de troubles psychiatriques, quel est le degré de gravité de chacun de ceux-ci (faible, moyen, grave) ? f. Quelles sont les conséquences de chaque diagnostic posé sur la capacité de travail de l’assurée, en pour-cent, dans sa profession habituelle de repasseuse ?</w:t>
      </w:r>
    </w:p>
    <w:p>
      <w:r>
        <w:t>A/99/2011 - 13/14 - g. Quelle est l’évolution de l'état de santé et de la capacité de travail de l'assurée depuis le 29 janvier 2010 ? h. Concluez-vous à une fibromyalgie ou à un trouble somatoforme douloureux ? Si oui : - Existe-t-il une comorbidité psychiatrique ? Si oui, sous quelle forme et de quel degré (faible, moyen, grave) ? - Existe-t-il des affections corporelles chroniques ? - Existe-il un processus maladif s’étendant sur plusieurs années, sans rémission durable ?</w:t>
      </w:r>
    </w:p>
    <w:p>
      <w:r>
        <w:t>- L’assurée subit-elle une perte d’intégration sociale et, le cas échéant, dans quelles situations (décrire les situations de perte d’intégration par rapport à la période antérieure à l’apparition des troubles psychiques et celles sans perte d’intégration) ? - Existe-t-il chez l’assurée un état psychique cristallisé, sans évolution possible au plan thérapeutique, résultant d’un processus défectueux de résolution du conflit, mais apportant un soulagement du point de vue psychique (profit primaire tiré de la maladie, fuite dans la maladie) ? - Constatez-vous un échec des traitements ambulatoires ou stationnaires conformes aux règles de l’art (même avec différents types de traitement) ? L’assurée suit-elle un traitement adéquat ? Sinon quel traitement est-il indiqué ? - Dans quelle mesure peut-on exiger de l’assurée qu’elle surmonte ses douleurs et qu’elle réintègre le monde du travail ? En d’autres termes, dispose-elle selon vous - et si oui, dans quelle mesure - des ressources psychiques lui permettant de surmonter ses douleurs aux fins d’exercer une activité lucrative ? i. Quelle est votre position s'agissant des constatations et conclusions du Dr D_________ ? j. Des mesures de réadaptation sont-elles envisageables et utiles ? Avec quelles chances de succès selon vous ? k. Dans quelle mesure et à quel taux l’assurée peut-elle exercer son activité habituelle ? Y a-t-il une diminution de rendement ? Si oui, de quelle ampleur ? l. Dans quelle mesure une activité lucrative adaptée est-elle raisonnablement exigible de l’assurée et à quel taux ? Dans ce cas, dans quel domaine et depuis quelle date ? Y a-t-il une diminution de rendement ? Si oui, de quelle ampleur ? m. Quelles sont les limitations fonctionnelles (qualitatives et quantitatives) entrainées par les troubles constatés ?</w:t>
      </w:r>
    </w:p>
    <w:p>
      <w:r>
        <w:t>A/99/2011 - 14/14 - n. La capacité de travail peut-elle être améliorée par des mesures médicales ou par une adaptation du poste de travail ? Quelle en serait l’influence sur le taux de capacité de travail ? o. Quel est votre pronostic ? p. Faire toute remarque ou suggestion utile. 3. Commet à ces fins les Drs G_________ et H_________; 4. Invite les experts à déposer à leur meilleure convenance un rapport en trois exemplaires à la Cour de céans ; 5. Réserve le fond.</w:t>
      </w:r>
    </w:p>
    <w:p>
      <w:r>
        <w:t>La greffière</w:t>
      </w:r>
    </w:p>
    <w:p>
      <w:r>
        <w:t>Marie-Catherine SECHAUD</w:t>
      </w:r>
    </w:p>
    <w:p>
      <w:r>
        <w:t>La Présidente</w:t>
      </w:r>
    </w:p>
    <w:p>
      <w:r>
        <w:t>Karine STECK</w:t>
      </w:r>
    </w:p>
    <w:p>
      <w:r>
        <w:t>Une copie conforme du présent arrêt est notifiée aux parties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