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ATAS/428/2008 vom 28. März 2007</w:t>
      </w:r>
    </w:p>
    <w:p>
      <w:r>
        <w:t>GE Cour de justice, 2007-03-28, FR</w:t>
      </w:r>
    </w:p>
    <w:p>
      <w:r>
        <w:rPr>
          <w:b/>
        </w:rPr>
        <w:t xml:space="preserve">Quelle: </w:t>
      </w:r>
      <w:r>
        <w:t>https://mcp.opencaselaw.ch/entscheid/ge_gerichte_ATAS_428_2008</w:t>
      </w:r>
    </w:p>
    <w:p>
      <w:r>
        <w:t>FR: GE_GERICHTE ATAS/428/2008 du 28 mars 2007</w:t>
      </w:r>
    </w:p>
    <w:p>
      <w:r>
        <w:t>IT: GE_GERICHTE ATAS/428/2008 del 28 marzo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23 septembre 1994, d’autre part le 16 mai 2007, date à laquelle le principe de divorce est devenu exécutoire. Selon les documents produits, la prestation acquise pendant le mariage par M. G_________ est de 452'632 fr. 10 auprès de la caisse de prévoyance des fonctionnaires de police et de la prison tandis que celle acquise par Mme F_________ est de 2185 fr. 70 auprès de la caisse de pension de R. NUSSBAUM AG., les intérêts ayant déjà été calculés par les institutions de prévoyance défenderesses. Ainsi M G_________ doit à son ex-épouse le montant de 226'316 fr.</w:t>
      </w:r>
    </w:p>
    <w:p>
      <w:r>
        <w:rPr>
          <w:b/>
        </w:rPr>
        <w:t>E. 05</w:t>
      </w:r>
    </w:p>
    <w:p>
      <w:r>
        <w:t>(452'632 fr. 10 : 2) et celle-ci lui doit le montant de 1092 fr. 85 (fr. 2'185 fr. 70 : 2), de sorte que c’est M. G_________ qui doit à Mme F_________ le montant de 225'223 fr. 20.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w:t>
      </w:r>
    </w:p>
    <w:p>
      <w:r>
        <w:t>- 4/5 -</w:t>
      </w:r>
    </w:p>
    <w:p>
      <w:r>
        <w:t>A/277/2008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- 5/5 -</w:t>
      </w:r>
    </w:p>
    <w:p>
      <w:r>
        <w:t>A/277/2008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