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ATAS/426/2017 vom 29. Mai 2017</w:t>
      </w:r>
    </w:p>
    <w:p>
      <w:r>
        <w:t>GE Cour de justice, 2017-05-29, FR</w:t>
      </w:r>
    </w:p>
    <w:p>
      <w:r>
        <w:rPr>
          <w:b/>
        </w:rPr>
        <w:t xml:space="preserve">Quelle: </w:t>
      </w:r>
      <w:r>
        <w:t>https://mcp.opencaselaw.ch/entscheid/ge_gerichte_ATAS_426_2017</w:t>
      </w:r>
    </w:p>
    <w:p>
      <w:r>
        <w:t>FR: GE_GERICHTE ATAS/426/2017 du 29 mai 2017</w:t>
      </w:r>
    </w:p>
    <w:p>
      <w:r>
        <w:t>IT: GE_GERICHTE ATAS/426/2017 del 29 maggio 2017</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A/3179/2016 - 10/14 - assurances sociales, du 6 octobre 2000 (LPGA; RS 830.1) relatives à la loi fédérale sur l'assurance-accidents, du 20 mars 1981 (LAA; RS 832.20). Sa compétence pour juger du cas d’espèce est ainsi établie.</w:t>
      </w:r>
    </w:p>
    <w:p>
      <w:r>
        <w:rPr>
          <w:b/>
        </w:rPr>
        <w:t>E. 2</w:t>
      </w:r>
    </w:p>
    <w:p>
      <w:r>
        <w:t>Le recours est dirigé contre une décision incidente rendue par l’intimée en application de l’art. 43 LPGA. Il s’agit d’une décision d’ordonnancement de la procédure contre laquelle la voie de l’opposition n’est pas ouverte (art. 52 al. 1 LPGA ; cf. Arrêt du Tribunal fédéral P 29/03 du 25 novembre 2004) et qui est directement susceptible de recours devant le tribunal cantonal des assurances (cf. art. 56 al. 1 LPGA). Interjeté dans les délai et forme prescrits par la loi, le recours est recevable (art. 56ss LPGA).</w:t>
      </w:r>
    </w:p>
    <w:p>
      <w:r>
        <w:rPr>
          <w:b/>
        </w:rPr>
        <w:t>E. 3</w:t>
      </w:r>
    </w:p>
    <w:p>
      <w:r>
        <w:t>L’objet du litige porte sur le choix et la mission des experts devant procéder à l'expertise de la recourante.</w:t>
      </w:r>
    </w:p>
    <w:p>
      <w:r>
        <w:rPr>
          <w:b/>
        </w:rPr>
        <w:t>E. 4</w:t>
      </w:r>
    </w:p>
    <w:p>
      <w:r>
        <w:t>a. Aux termes de l'art. 43 LPGA, l'assureur examine les demandes, prend d'office les mesures d'instruction nécessaires et recueille les renseignements dont il a besoin (al. 1 1ère phr.). L'assuré doit se soumettre à des examens médicaux ou techniques si ceux-ci sont nécessaires à l'appréciation du cas et qu'ils peuvent être raisonnablement exigés (al. 2).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w:t>
      </w:r>
    </w:p>
    <w:p>
      <w:r>
        <w:t>A/3179/2016 - 11/14 -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Enfin,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(ATAS/226/2013 du 28 février 2013 et ATAS/263/2013 du 13 mars 2013 ). Dans ce dernier arrêt, la Cour de céans a également précisé que ce n'est pas uniquement en présence de justes motifs de récusation à l'encontre de l'expert que l'assuré peut émettre des contre-propositions.</w:t>
      </w:r>
    </w:p>
    <w:p>
      <w:r>
        <w:t>A/3179/2016 - 12/14 - b. En ce qui concerne le droit des parties de se prononcer sur les questions à soumettre à l’expert, la jurisprudence a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Quant à la jurisprudence citée par l'intimée, elle est antérieure à l'ATF 137 V 210 qui a renforcé les droits de participation des parties dans la mise en place d'une expertise médicale.</w:t>
      </w:r>
    </w:p>
    <w:p>
      <w:r>
        <w:rPr>
          <w:b/>
        </w:rPr>
        <w:t>E. 5</w:t>
      </w:r>
    </w:p>
    <w:p>
      <w:r>
        <w:t>a. La recourante fait grief à l'intimée de ne pas avoir respecté les exigences jurisprudentielles liées à la mise sur pied consensuelle des expertises. Il convient de constater, à titre liminaire, que l'intimée n’a pas mandaté les experts sans consulter l'assurée et qu'il ne peut lui être reproché d'avoir pris contact avec le CEMed en lui soumettant le dossier de l'assurée dans le but d'obtenir le nom des experts qui pourraient y procéder, ce qui lui a permis de transmettre leurs noms à l'assurée pour qu'elle se prononce à leur sujet. L'on ne voit pas en quoi cette façon de procéder influencerait les experts et justifierait leur récusation. L'organisation d'une expertise pluridisciplinaire n’est pas aisée et les assureurs doivent pouvoir bénéficier d'une certaine marge de manœuvre permettant d'en faciliter la mise en oeuvre. b. La recourante, en s'opposant par principe à ce que le CEMed et la Clinique Corela soient mandatés pour effectuer l'expertise, n'a pas fait valoir un motif de récusation formel, dès lors qu'elle mettait en cause de manière générale l'indépendance de ces centres, sans alléguer une apparence de prévention dans le cas concret. Elle a ainsi fait valoir un motif matériel. À la suite des objections formulées par la recourante, l'intimée a certes tenté de prendre contact, mais sans succès, avec le SEM. Elle n'a en revanche pas répondu à la suggestion de de mandater le CHUV et ne semble pas avoir contacté le BEM, alors qu'elle l'avait elle-même proposé comme alternative à l'assurée, qui n'avait pas formulé d'objection de principe contre celui-ci. Ce n'est que dans sa décision du 18 août 2016 que l'intimée a précisé que le BEM ne disposait pas de tous les spécialistes et dans sa réponse au recours qu'il a motivé pourquoi il n'avait pas mandaté le CHUV. S'agissant de ce dernier, s'il n'a pas pour mission première d'effectuer des expertises, contrairement aux centres proposés par l'intimée, il faut reconnaître avec</w:t>
      </w:r>
    </w:p>
    <w:p>
      <w:r>
        <w:t>A/3179/2016 - 13/14 - la recourante qu'il est notoire que le CHUV procède à des expertises. L’objection de l'intimée selon laquelle il était difficile de connaître à l'avance les médecins qui seraient véritablement chargés de l'expertise ne suffisait pas à l'exclure, vu le souhait exprimé par l'assurée. Il apparaît ainsi que l'intimée n'a pas sérieusement tenté de trouver un consensus avec l'assurée en mandatant le CEMed, contrairement à sa volonté, alors qu'elle disposait d'autres alternatives. Au vu de la jurisprudence précitée du Tribunal fédéral et de la Cour de céans, l'intimée n'a ainsi pas respecté les droits de participation de l’assurée dans la procédure de désignation de l’expert. La cause sera par conséquent renvoyée à l’intimée afin qu’elle propose un ou plusieurs autres médecins susceptibles d’assumer le mandat d'expertise afin de trouver un accord avec la recourante, susceptible de favoriser l'adhésion de cette dernière aux conclusions de l'expertise. c. La recourante a encore fait valoir que les questionnaires d’expertise adressés au CEMed ne se limitaient pas à un recueil de questions, mais contenaient une version des faits orientée et partiale, sans détailler en quoi le résumé des faits serait orienté, ce qui n'apparaît pas le cas à la lecture des documents du point de vue de la chambre de céans. À cet égard, il convient de relever que l'intimée a pris en compte les suggestions de l'assurée en annexant les questions complémentaires de celle-ci à la mission d'expertise. Elle a ainsi correctement tenu compte des remarques de cette dernière. Ce grief doit être rejeté. d. La recourante conteste enfin la nécessité d'une expertise psychiatrique. Contrairement à ce que soutient l'intimée, sans le motiver sérieusement en renvoyant à la lecture du dossier, l'on ne voit pas la nécessité de faire procéder à une expertise psychiatrique, dès lors que la recourante ne fait valoir aucune prétention relative à une telle atteinte. En outre, si le Dr E______ a certes évoqué un état dépressif, il n'apparaît pas, au vu de l'ensemble du dossier, que l'atteinte à la santé de l'assurée pourrait avoir une cause psychique. C'est donc à juste titre que la recourante s'oppose à une expertise psychiatrique.</w:t>
      </w:r>
    </w:p>
    <w:p>
      <w:r>
        <w:rPr>
          <w:b/>
        </w:rPr>
        <w:t>E. 6</w:t>
      </w:r>
    </w:p>
    <w:p>
      <w:r>
        <w:t>Fondé, le recours sera partiellement admis, la décision du 18 août 2016 annulée et la cause renvoyée à l'intimée pour qu'elle propose à la recourante, un ou plusieurs autres médecins susceptibles d’assumer le mandat d'expertise afin de trouver un consensus, sans faire porter l'expertise sur le plan psychiatrique.</w:t>
      </w:r>
    </w:p>
    <w:p>
      <w:r>
        <w:rPr>
          <w:b/>
        </w:rPr>
        <w:t>E. 7</w:t>
      </w:r>
    </w:p>
    <w:p>
      <w:r>
        <w:t>La recourante, étant représentée par un conseil et obtenant gain de cause en grande partie, a droit à une indemnité à titre de participation à ses frais et dépens, que la chambre de céans fixera à CHF 1'000.- (art. 61 let. g LPGA et 89H al. 1 LPA).</w:t>
      </w:r>
    </w:p>
    <w:p>
      <w:r>
        <w:rPr>
          <w:b/>
        </w:rPr>
        <w:t>E. 8</w:t>
      </w:r>
    </w:p>
    <w:p>
      <w:r>
        <w:t>La procédure est gratuite. PAR CES MOTIFS, LA CHAMBRE DES ASSURANCES SOCIALES :</w:t>
      </w:r>
    </w:p>
    <w:p>
      <w:r>
        <w:t>A/3179/2016 - 14/14 -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