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ATAS/425/2019 vom 21. April 2015</w:t>
      </w:r>
    </w:p>
    <w:p>
      <w:r>
        <w:t>GE Cour de justice, 2015-04-21, FR</w:t>
      </w:r>
    </w:p>
    <w:p>
      <w:r>
        <w:rPr>
          <w:b/>
        </w:rPr>
        <w:t xml:space="preserve">Quelle: </w:t>
      </w:r>
      <w:r>
        <w:t>https://mcp.opencaselaw.ch/entscheid/ge_gerichte_ATAS_425_2019</w:t>
      </w:r>
    </w:p>
    <w:p>
      <w:r>
        <w:t>FR: GE_GERICHTE ATAS/425/2019 du 21 avril 2015</w:t>
      </w:r>
    </w:p>
    <w:p>
      <w:r>
        <w:t>IT: GE_GERICHTE ATAS/425/2019 del 21 aprile 2015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litige porte sur la question de savoir si l’assureur a ou non commis un déni de justice en ne rendant pas de décision incidente formelle sur l’exigibilité des documents dont il requiert la production. Préalablement, la chambre de céans doit examiner la demande de « mesures superprovisionnelles urgentes et de mesures provisionnelles ».</w:t>
      </w:r>
    </w:p>
    <w:p>
      <w:r>
        <w:rPr>
          <w:b/>
        </w:rPr>
        <w:t>E. 3</w:t>
      </w:r>
    </w:p>
    <w:p>
      <w:r>
        <w:t>Aux termes de l’art. 21 de la loi sur la procédure administrative du 12 septembre 1985 (LPA ; RSGE 5 10), l’autorité peut d’office ou sur requête ordonner des mesures provisionnelles en exigeant au besoin des sûretés (al. 1). Ces mesures sont ordonnées par le Président s’il s’agit d’une autorité collégiale ou d’une juridiction administrative (al. 2).</w:t>
      </w:r>
    </w:p>
    <w:p>
      <w:r>
        <w:rPr>
          <w:b/>
        </w:rPr>
        <w:t>E. 4</w:t>
      </w:r>
    </w:p>
    <w:p>
      <w:r>
        <w:t>Seules des mesures provisionnelles sont expressément prévues par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3ème édition, Berne 2011, p. 306, N.2.2.6.8 et jurisprudences citées ; I. HÄNER, Vorsorgliche Massnahmen im Verwaltungsverfahren und Verwaltungsprozess, RDS 1997 II 254 ss).</w:t>
      </w:r>
    </w:p>
    <w:p>
      <w:r>
        <w:rPr>
          <w:b/>
        </w:rPr>
        <w:t>E. 5</w:t>
      </w:r>
    </w:p>
    <w:p>
      <w:r>
        <w:t>En l’espèce, l’assurée a conclu à ce que le délai au 15 mai 2019 à elle imparti par l’assureur dans son courrier du 10 avril 2019 pour fournir les documents et informations demandés, soit suspendu. L’urgence impose dans ces conditions de statuer avant que l’assureur ait pu se déterminer, dans la mesure où ce dernier a expressément annoncé qu’à défaut de réponse d’ici au 15 mai 2019, il procéderait à la clôture du dossier.</w:t>
      </w:r>
    </w:p>
    <w:p>
      <w:r>
        <w:t>A/1818/2019 - 4/7 -</w:t>
      </w:r>
    </w:p>
    <w:p>
      <w:r>
        <w:rPr>
          <w:b/>
        </w:rPr>
        <w:t>E. 6</w:t>
      </w:r>
    </w:p>
    <w:p>
      <w:r>
        <w:t>Il s’agit ainsi de déterminer s’il se justifie de suspendre le délai fixé par l’assureur au 15 mai 2019.</w:t>
      </w:r>
    </w:p>
    <w:p>
      <w:r>
        <w:rPr>
          <w:b/>
        </w:rPr>
        <w:t>E. 7</w:t>
      </w:r>
    </w:p>
    <w:p>
      <w:r>
        <w:t>De jurisprudence constante, les mesures provisionnelles ont pour objet de régler transitoirement la situation en cause jusqu’à ce que soit prise la décision finale (ATA/326/2011 ; ATA/197/2011 du 28 mars 2011 ; P. MOOR, op. cit., numéro 2.2.6.8 p. 267). Elles sont modifiables pendant le cours de la procédure et les demandes s’y rapportant peuvent être déposées en tout temps.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(ATAS/582/2005).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ATA/197/2011 du 28 mars 2011 et les références citées). Compte tenu de l’étroite connexité liant l’effet suspensif aux autres mesures provisionnelles au sens de l’art. 56 PA, les principes applicables au retrait de l’effet suspensif s’appliquent par analogie à ces mesures. Conformément à la jurisprudence relative à l'art. 55 PA à laquelle l'entrée en vigueur de la LPGA et de l'OPGA n'a rien changé (arrêt du Tribunal fédéral des assurances I 46/04 du 24 février 2004 consid. 1),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 d'autres termes, les conditions à remplir pour l’octroi de mesures provisionnelles sont au nombre de trois (ATAS/36/2017 consid. 5c) : - l’existence de motifs objectivement fondés justifiant l’intervention, soit l’importance de l’intérêt vraisemblablement compromis par le maintien pur et</w:t>
      </w:r>
    </w:p>
    <w:p>
      <w:r>
        <w:t>A/1818/2019 - 5/7 - simple de la situation, la gravité possible des effets de l’absence d’intervention provisoire, l’urgence qu’il y a à agir; une atteinte irréversible n'est toutefois pas exigée; - le pronostic relatif à l’issue de la cause doit être favorable dans le sens que le recours ne doit pas apparaître de prime abord comme dépourvu de chance de succès; - la mesure provisionnelle ne doit pas préjuger de la décision finale en créant par son propre effet une situation irréversible qui rende vaine l’issue du recours.</w:t>
      </w:r>
    </w:p>
    <w:p>
      <w:r>
        <w:rPr>
          <w:b/>
        </w:rPr>
        <w:t>E. 8</w:t>
      </w:r>
    </w:p>
    <w:p>
      <w:r>
        <w:t>Il y a lieu de constater qu’en déposant un recours pour déni de justice contre l’assureur, l’assurée – qui n’a pas donné suite aux demandes réitérées de l’assureur – entend obtenir de celui-ci qu’il rende une décision incidente sur l’exigibilité des documents requis, – mais pas une décision ayant la teneur de celle du 29 mars 2019 –. Or, il sied à cet égard de rappeler que l’assuré doit se soumettre à des examens médicaux ou techniques si ceux-ci sont nécessaires à l’appréciation du cas et qu’ils peuvent être raisonnablement exigés (art. 43 al. 2 LPGA). Toutefois, le pouvoir d’appréciation de l’administration dans la mise en œuvre d’un examen médical n’est pas illimité ; elle doit se laisser guider par les principes de l’État de droit, tels les devoirs d’objectivité et d’impartialité et le principe d’une administration rationnelle (arrêt du Tribunal fédéral 8C_667/2012 du 12 juin 2013 consid. 4.1).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La chambre de céans devra ainsi déterminer, dans le cadre du jugement au fond, s’il incombe à l’assureur de justifier, par décision, les motifs pour lesquels il estime qu’il lui est utile de prendre connaissance des documents requis. Il n’apparaît pas, en l’état et au vu de ce qui précède, à un degré de probabilité suffisant, que l’assurée obtiendra gain de cause, pour qu’au stade actuel de la procédure, la mesure provisionnelle doive être admise.</w:t>
      </w:r>
    </w:p>
    <w:p>
      <w:r>
        <w:rPr>
          <w:b/>
        </w:rPr>
        <w:t>E. 9</w:t>
      </w:r>
    </w:p>
    <w:p>
      <w:r>
        <w:t>En tant que l’assuré sollicite l’octroi de l’effet suspensif, alors qu’il se plaint de l’absence de décision, sa requête ne peut en outre qu’être rejetée ; en effet, l’octroi de l’effet suspensif à un recours dirigé contre une décision dont l’absence est critiquée n’est pas susceptible de déployer une quelconque portée. Un effet suspensif ne peut être restitué lorsque le recours est dirigé contre une décision à contenu négatif ; la fonction de l’effet suspensif est de maintenir un régime juridique prévalant avant la décision contestée (ATF 127 II 132 ; 126 V 407 ; 116 Ib 344).</w:t>
      </w:r>
    </w:p>
    <w:p>
      <w:r>
        <w:t>A/1818/2019 - 6/7 - Il est vrai qu’en l’espèce, même s’il s’agit d’un recours pour déni de justice, le refus d’ordonner la suspension du délai pourrait créer pour l'assurée la menace d'un dommage (ATF 130 II 149 consid. 2.2 ; 127 II 132 consid. 3 = RDAF 2002 I 405), en ce sens que l’assureur, sans nouvelle de l’assurée au 15 mai 2019, lui notifiera une décision lui niant le droit à toute prestation au vu de son refus de collaborer. L’assurée pourra toutefois contester ladite décision par opposition, puis par recours. La question de savoir si l’assureur était en droit de requérir de l’assurée des documents supplémentaires sera alors examinée.</w:t>
      </w:r>
    </w:p>
    <w:p>
      <w:r>
        <w:rPr>
          <w:b/>
        </w:rPr>
        <w:t>E. 10</w:t>
      </w:r>
    </w:p>
    <w:p>
      <w:r>
        <w:t>Il importe de rappeler que l’interdiction du déni de justice vise le retard injustifié à statuer lorsque l’autorité administrative ne rend pas la décision qu’il lui incombe de prendre, et que le juge ne peut qu’inviter l’autorité concernée à statuer à bref délai. En conséquence, si le recours pour déni de justice était admis, l’assureur serait invité à rendre une décision incidente sur l’exigibilité des documents requis, et fixerait un nouveau délai à l’assurée pour les produire. Si le recours était en revanche rejeté, l’assureur, sans nouvelle de l’assurée dans le délai imparti, lui notifierait la décision au fond, refusant toute prestation au vu de son défaut de collaboration. Le seul intérêt de l’assurée à obtenir de l’assureur une décision incidente revient dès lors à obtenir une prolongation du délai pour produire les documents requis par l'assureur, qu'elle se refuse toutefois à produire. Il y a ainsi lieu de constater que l’assurée ne subirait aucun dommage en réalité, puisqu’elle aurait quoi qu'il en soit la possibilité de recourir, le cas échéant, contre la décision au fond.</w:t>
      </w:r>
    </w:p>
    <w:p>
      <w:r>
        <w:rPr>
          <w:b/>
        </w:rPr>
        <w:t>E. 11</w:t>
      </w:r>
    </w:p>
    <w:p>
      <w:r>
        <w:t>La demande de « mesures superprovisionnelles urgentes et de mesures provisionnelles » est rejetée.</w:t>
      </w:r>
    </w:p>
    <w:p>
      <w:r>
        <w:t>A/1818/2019 - 7/7 -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