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ATAS/425/2018 vom 22. Mai 2018</w:t>
      </w:r>
    </w:p>
    <w:p>
      <w:r>
        <w:t>GE Cour de justice, 2018-05-22, FR</w:t>
      </w:r>
    </w:p>
    <w:p>
      <w:r>
        <w:rPr>
          <w:b/>
        </w:rPr>
        <w:t xml:space="preserve">Quelle: </w:t>
      </w:r>
      <w:r>
        <w:t>https://mcp.opencaselaw.ch/entscheid/ge_gerichte_ATAS_425_2018</w:t>
      </w:r>
    </w:p>
    <w:p>
      <w:r>
        <w:t>FR: GE_GERICHTE ATAS/425/2018 du 22 mai 2018</w:t>
      </w:r>
    </w:p>
    <w:p>
      <w:r>
        <w:t>IT: GE_GERICHTE ATAS/425/2018 del 22 maggio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sur le droit de la recourante à une rente d'invalidité.</w:t>
      </w:r>
    </w:p>
    <w:p>
      <w:r>
        <w:t>A/3610/2017 - 11/23 -</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6</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7</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w:t>
      </w:r>
    </w:p>
    <w:p>
      <w:r>
        <w:t>A/3610/2017 - 12/23 -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w:t>
      </w:r>
    </w:p>
    <w:p>
      <w:r>
        <w:t>A/3610/2017 - 13/23 -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w:t>
      </w:r>
    </w:p>
    <w:p>
      <w:r>
        <w:t>A/3610/2017 - 14/23 -</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w:t>
      </w:r>
    </w:p>
    <w:p>
      <w:r>
        <w:t>A/3610/2017 - 15/23 -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w:t>
      </w:r>
    </w:p>
    <w:p>
      <w:r>
        <w:t>A/3610/2017 - 16/23 - le cas lorsqu’avant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w:t>
      </w:r>
    </w:p>
    <w:p>
      <w:r>
        <w:t>A/3610/2017 - 17/23 -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op. cit, consid. 4.2 et 9C_602/2015, op. cit., consid. 6.1).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14</w:t>
      </w:r>
    </w:p>
    <w:p>
      <w:r>
        <w:t>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(arrêt du Tribunal fédéral 9C_366/2014 du 19 novembre 2014 consid. 5.2). Pour apprécier les chances d'un assuré proche de l'âge de la retraite de mettre en valeur sa capacité résiduelle de travail sur le marché de l'emploi, il convient de se placer au moment où l'on constate que l'exercice (partiel) d'une activité lucrative est exigible du point de vue médical, soit dès que les documents médicaux permettent d'établir de manière fiable les faits y relatifs (ATF 138 V 457 consid. 3; arrêt du</w:t>
      </w:r>
    </w:p>
    <w:p>
      <w:r>
        <w:t>A/3610/2017 - 18/23 - Tribunal fédéral 9C_366/2014 du 19 novembre 2014 consid. 5.3). Si on ne peut pas attendre d’un assuré proche de l'âge de la retraite qu’il reprenne une activité adaptée, le degré d'invalidité doit être déterminé en fonction de sa capacité de travail résiduelle dans l'activité qu’il exerçait avant la survenance de son atteinte à la santé (arrêt du Tribunal fédéral 9C_913/2012 du 9 avril 2013 consid. 5.3 et 5.4). A titre d’exemples, le Tribunal fédéral a considéré qu’il était exigible d’un assuré de 60 ans ayant travaillé pour l’essentiel en tant qu’ouvrier dans l’industrie textile qu’il se réinsère sur le marché du travail malgré son âge et ses limitations fonctionnelles (travaux légers et moyens avec alternance des positions dans des locaux fermés; arrêt du Tribunal fédéral des assurances I 376/05 du 5 août 2005 consid. 4.2), de même que pour un soudeur de 60 ans avec des limitations psychiques et physiques, notamment rhumatologiques et cardiaques, qui disposait d’une capacité de travail de 70% (arrêt du Tribunal fédéral des assurances I 304/06 du 22 janvier 2007 consid. 4.2). Notre Haute Cour a en revanche nié la possibilité de valoriser sa capacité de travail résiduelle d’un assuré de 61 ans, sans formation professionnelle, qui n’avait aucune expérience dans les activités fines médicalement adaptées et ne disposait que d’une capacité de travail à temps partiel, soumise à d’autres limitations fonctionnelles, et qui selon les spécialistes ne présentait pas la capacité d’adaptation nécessaire (arrêt du Tribunal fédéral des assurances I 392/02 du 23 octobre 2003 consid. 3.3), ainsi que dans le cas d’un assuré de 64 ans capable de travailler à 50% avec de nombreuses limitations fonctionnelles (arrêt du Tribunal fédéral des assurances I 401/01 du 4 avril 2002 consid. 4c). Le Tribunal fédéral est parvenu au même constat dans le cas d’un agriculteur de 57 ans qui ne pourrait exercer d’activité adaptée sans reconversion professionnelle et qui ne disposait subjectivement pas des capacités d’adaptation nécessaires à cette fin (arrêt du Tribunal fédéral 9C_578/2009 du 29 décembre 2009 consid. 4.3.2).</w:t>
      </w:r>
    </w:p>
    <w:p>
      <w:r>
        <w:rPr>
          <w:b/>
        </w:rPr>
        <w:t>E. 15</w:t>
      </w:r>
    </w:p>
    <w:p>
      <w:r>
        <w:t>En l'espèce, la recourante reproche à l'intimé de s'être basé sur les conclusions de l'expertise du Dr H_____ du centre médical de Lavey-les-Bains, confirmées et prises à son compte par le SMR. Elle allègue que l'expert n'aurait pas pris en compte les atteintes nouvelles à sa santé, décrites dans le cadre de la procédure d'audition, se fondant à cet égard sur les documents médicaux produits dans ce contexte, émanant de son médecin traitant et d'un chirurgien de la main. Il y a dès lors lieu de vérifier si l'on peut accorder une pleine valeur probante à l'expertise du 7 septembre 2016 confiée à un médecin indépendant. a. La chambre de céans considère que l'on peut en effet reconnaître une pleine valeur probante à cette expertise : conformément aux exigences de la jurisprudence, cette expertise a été confiée à un médecin indépendant, spécialiste reconnu. Les points litigieux importants ont fait l'objet d'une étude fouillée ; le rapport se fonde sur des examens complets ; il prend largement en considération les plaintes exprimées par la recourante. Il a été établi en pleine connaissance du dossier (anamnèse) ; la description des interférences médicales sont claires et enfin que les conclusions de l'expert sont bien motivées. L'expert aboutit à des résultats</w:t>
      </w:r>
    </w:p>
    <w:p>
      <w:r>
        <w:t>A/3610/2017 - 19/23 - convaincants (ATF 134 V 231 consid. 5.1 ; ATF 133 V 450 consid. 11.1.3 ; ATF 125 V 351 consid. 3). b. Certes, le médecin traitant a contesté le projet de décision, par courrier du 2 février 2017, dans le délai d'audition, soit avant que n'ait été prise la décision entreprise. Selon lui la patiente présente une invalidité beaucoup plus importante que celle retenue. On rappellera à cet égard que selon la jurisprudence, la notion d'invalidité, au sens du droit des assurances sociales, est une notion économique et non médicale ; ce sont les conséquences économiques objectives de l'incapacité fonctionnelle qu'il importe d'évaluer. Or, le médecin traitant concluant que le taux d'invalidité retenu de 23% paraît « ridicule » sort non seulement du domaine de ses compétences, mais l'adjectif fort qu'il utilise ne saurait pallier l'absence de motivation convaincante, et des raisons pour lesquelles il conteste les conclusions de l'expert, et partant du SMR. On ne saurait sans autre considérer que le Dr D_____, au lieu de parler d'invalidité, visait plutôt l'incapacité de travail : en évoquant le fait que sa patiente serait atteinte d'une rhizarthrose du pouce bilatérale, invalidante à la main droite, « qui va l'empêcher de travailler et d'exercer son métier de femme de ménage et de repasseuse », non seulement il ne remet pas en cause les conclusions de l'expert, qui a en effet conclu à une CT de 0% dans l'activité exercée jusqu'ici, mais il est encore en contradiction avec le Dr K_____ à qui il avait adressé la patiente, à la même époque : ce chirurgien de la main lui rapportant, le 5 février 2017, ses conclusions à la suite de sa consultation spécialisée du 2 février 2017, relevait que la patiente se plaignait parmi d'autres soucis de nature arthrosique d'une douleur de la base de son pouce gauche depuis environ six mois, en aggravation depuis trois mois. La douleur était décrite comme constante, peu améliorée par la prise d'antalgiques. Le spécialiste remarquait toutefois que la patiente n'avait aucune plainte à droite (contrairement à ce que mentionne le médecin traitant, au même moment). On observera à l'égard de ces plaintes, que les constatations anamnestiques du spécialiste corroborent ce que relevait déjà l'expert dans son rapport de septembre 2016. Le Dr K_____ constate toutefois, objectivement, que radiologiquement il s'agit d'une arthrose trapézométacarpienne isolée débutante. La recourante fait grand cas du fait que cliniquement le spécialiste avait retrouvé une discrète synovite à la palpation de l'articulation trapézométacarpienne gauche, mais surtout de la remarque selon laquelle la palpation était « par contre très douloureuse et présentait également un petit grattement marginal lors des mouvements de rotation ». Force est de constater que lorsqu'il indique que la palpation est « très douloureuse », ce médecin ne fait que rapporter la plainte de la patiente, au moment de l'examen ; cette observation doit évidemment être clairement distinguée de la constatation objective qui précède. En effet, ce médecin précisera dans sa réponse du 10 avril 2017 au questionnement de l'OAI, qu'il avait examiné la patiente le 2 février 2017 et ne l'avait pas revue depuis ; en ce qui concerne les LF, il s'agissait d'une atteinte objectivement toute débutante et modérée de l'articulation trapézométacarpienne, chez cette patiente droitière. Il relevait surtout que les plaintes étaient comparativement très</w:t>
      </w:r>
    </w:p>
    <w:p>
      <w:r>
        <w:t>A/3610/2017 - 20/23 - prononcées chez cette patiente démonstrative, et certainement peu en rapport avec la sévérité constatée. Il relevait qu'hormis les travaux de force nécessitant des prises à pleines mains avec force et prolongées ou qui nécessitent une pince pollici- digitale répétée et avec force supérieure à 3 kg, toutes les activités sont théoriquement possibles avec une capacité de 100% dans une activité adaptée. Les constatations et conclusions de ce spécialiste se distancent ainsi très largement des considérations du médecin traitant, mais corroborent en revanche pleinement les constatations de l'expert dans son rapport de début septembre 2016. Ce dernier y relève en effet que la patiente signale des douleurs main G (base du pouce). Il est vrai que l'expert n'a pas retenu de diagnostic, à ce sujet, même sans effet sur la capacité de travail. Il n'est cependant pas en contradiction avec le chirurgien de la main, bien au contraire : répondant à la question de la cohérence, l'expert relevait précisément que la faiblesse importante de la main, alléguée par la patiente, n'était pas corrélée avec le test de Jamar, seul point de majoration qu'il avait constaté à l'examen. Ainsi les constatations et conclusions de l'expert, par rapport à l'atteinte débutante et isolée constatée par le spécialiste cinq mois plus tard, sont parfaitement cohérentes et convaincantes. À l'inverse, celles du médecin traitant manquent d'objectivité et de distance par rapport aux plaintes subjectives de la patiente, - ce qui peut naturellement se comprendre, dans le contexte de la relation de confiance existant dans le cadre du mandat thérapeutique du médecin traitant. Les autres problèmes relevés « par ailleurs » par le médecin traitant ne remettent pas non plus en cause la valeur probante de l'expertise : les atteintes à la santé pointées dans ce contexte n'étaient pas nouvelles, et ont dûment été prises en compte par l'expert. Il en va ainsi des multiples séquelles liées à l'opération de prothèse de genou infecté en 2009 et 2012, mais également des lombalgies. L'expert a retenu parmi les diagnostics ayant une incidence sur la CT les gonalgies G chroniques dans le cadre du s/p PTG G pour gonarthrose tricompartimentale (2009) et s/p révision PTG post arthrite septique en 2013, ankylose, et lombalgies chroniques dans le cadre de troubles dégénératifs étagés, et troubles statiques : scoliose, ainsi que déconditionnement musculaire. Mais pas seulement : il a également retenu le diagnostic incapacitant de gonalgies D sur gonarthrose tricompartimentale, relevant dans la discussion que l'expertisée présentait des douleurs articulaires prédominantes au niveau de ses genoux, associées à des lombalgies chroniques. Le facteur limitant dans cette situation était principalement la gonarthrose D, et les lombalgies. Quant à ces dernières, l'expert indique d'ailleurs les raisons pour lesquelles il ne partageait pas le point de vue de ses collègues des HUG, par rapport à l'indication chirurgicale rachidienne que ces derniers retenaient : il n'y avait, selon lui, ni cruralgies ni claudication neurogène, les douleurs des MI devant être associées aux problèmes de genou. Le fait que le médecin traitant évoque, en février 2017, l'opération prochaine (prothèse du genou droit), - « raison pour laquelle, la reprise du travail sera encore retardée » -, n'est pas non plus de nature à remettre en cause les conclusions de l'expert. Ce n'est pas non plus un élément susceptible de remettre en cause la décision entreprise, au</w:t>
      </w:r>
    </w:p>
    <w:p>
      <w:r>
        <w:t>A/3610/2017 - 21/23 - motif qu'il n'aurait pas été tenu compte de cette circonstance au moment de l'expertise. Au contraire : les conclusions de l'expert quant à la CT (dans l'activité habituelle comme dans une activité adaptée), sont précisément fondées sur le fait qu'au moment de l'examen, le facteur limitant principal dans la situation de la patiente était justement la gonarthrose D, ainsi que les lombalgies. Il ne s'agit pas là de la démonstration d'une aggravation en tant que telle de l'état de santé de la recourante depuis l'expertise querellée, mais bien plutôt d'une mesure thérapeutique résultant de la situation du genou droit ; situation qui avait été évaluée et prise en compte par l'expert. Or le but évident de la pose d'une PTG est de diminuer les conséquences de l'atteinte sur l'état général de la patiente, et le cas échéant d'obtenir une amélioration possible de la CT. Loin de considérer que cette intervention chirurgicale diminuerait à terme la CT de la patiente, le médecin traitant relevait simplement que cette circonstance allait retarder la reprise du travail. Comme on l'a vu pour la PTG G en hiver 2014, l'intervention chirurgicale de pose d'une prothèse qui engendre une incapacité totale de travail, pour une relativement brève période, sans incidence sur le droit à la rente. Du reste, le dossier n'indique pas si cette opération a finalement eu lieu ou non le 31 août 2017, comme annoncé par la recourante dans son courrier/recours du 29 août 2017. Mais cet élément n'est pas relevant dans le contexte de ce recours, de sorte qu'il n'apparaît pas nécessaire d'investiguer plus avant sur ce sujet, ni d'ailleurs de procéder à d'autres actes d'instruction complémentaire, car ceux-ci n'auraient pas non plus d'incidence sur l'issue du litige. Ainsi, au vu de ce qui précède, c'est à juste titre que l'intimé et le SMR ont reconnu pleine valeur probante à l'expertise du Dr M_____. L'avis médical du SMR, du 26 juillet 2017 confirmant, aux termes de l'audition, les conclusions de son avis du 4 novembre 2016 après expertise tient pleinement compte de l'évolution de l'état de santé de la recourante et des éléments mis en évidence par les nouveaux documents médicaux reçus depuis l'expertise, et ses conclusions sont exemptes de critiques. On rappellera à cet égard que la pleine capacité de travail de la recourante dans une activité adaptée moyennant le respect des limitations fonctionnelles retenues et tenant compte d'une baisse de rendement de 40% a été fixée en mars 2014, soit à dater de l'examen du service d'orthopédie des HUG, à trois mois postopératoires, l'évolution ayant été jugée favorable dès ce moment-là. Ainsi, la décision entreprise n'est pas critiquable en tant qu'elle a pris pour base du refus de rente les conclusions de l'expertise du Dr M_____. C'est donc à juste titre que l'intimé n'a pas donné suite à la demande de la recourante et de son médecin traitant de procéder à un complément d'instruction sous forme d'expertise. Dans le même sens, au stade du recours, au vu de la jurisprudence rappelée précédemment, il n'y a pas lieu non plus d'ordonner une expertise judiciaire dans cette situation.</w:t>
      </w:r>
    </w:p>
    <w:p>
      <w:r>
        <w:t>A/3610/2017 - 22/23 -</w:t>
      </w:r>
    </w:p>
    <w:p>
      <w:r>
        <w:rPr>
          <w:b/>
        </w:rPr>
        <w:t>E. 16</w:t>
      </w:r>
    </w:p>
    <w:p>
      <w:r>
        <w:t>Ceci dit, la recourante ne remet pas en cause en tant que telle la méthode de calcul, par comparaison des revenus avec et sans invalidité, utilisée par l'intimé, laquelle apparaît pleinement respecter les principes de jurisprudence rappelée précédemment. S'agissant enfin de l'âge de la recourante, née le 16 mars 1957, et la question de savoir s'il doit être pris en compte pour apprécier ses chances de mettre en valeur sa capacité résiduelle de travail sur le marché de l'emploi. Selon la jurisprudence, il convient de se placer au moment où l'on constate que l'exercice (partiel) d'une activité lucrative est exigible du point de vue médical, soit dès que les documents médicaux permettent d'établir de manière fiable les faits y relatifs (ATF 138 V 457 consid. 3 ; arrêt du Tribunal fédéral 9C_366/2014 du 19 novembre 2014 consid. 5.3). On retiendra dans le cas d'espèce que la recourante, certes âgée aujourd'hui de 61 ans, était âgée de 57 ans en mars 2014, date retenue comme déterminante pour fixer le moment de l'exigibilité d'une activité adaptée à 100%, mais tenant compte d'une baisse de rendement de 40%. Au vu des exemples mentionnés précédemment, tirés de la jurisprudence, on doit admettre que la mise en valeur de la capacité de travail résiduelle dans une activité adaptée, est exigible de la recourante.</w:t>
      </w:r>
    </w:p>
    <w:p>
      <w:r>
        <w:rPr>
          <w:b/>
        </w:rPr>
        <w:t>E. 17</w:t>
      </w:r>
    </w:p>
    <w:p>
      <w:r>
        <w:t>Au vu de ce qui précède, en tous points mal fondé, le recours sera rejeté.</w:t>
      </w:r>
    </w:p>
    <w:p>
      <w:r>
        <w:rPr>
          <w:b/>
        </w:rPr>
        <w:t>E. 18</w:t>
      </w:r>
    </w:p>
    <w:p>
      <w:r>
        <w:t>Bien que la procédure ne soit pas gratuite en matière d'assurance-invalidité (art. 69 al. 1bis LAI), il convient de renoncer à la perception d'un émolument, le recourant étant au bénéfice de l'assistance juridique (art. 12 al. 1 du règlement sur les frais, émoluments et indemnités en procédure administrative du 30 juillet 1986 [RFPA - E 5 10.03]).</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