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ATAS/425/2011 vom 2. Mai 2011</w:t>
      </w:r>
    </w:p>
    <w:p>
      <w:r>
        <w:t>GE Cour de justice, 2011-05-02, FR</w:t>
      </w:r>
    </w:p>
    <w:p>
      <w:r>
        <w:rPr>
          <w:b/>
        </w:rPr>
        <w:t xml:space="preserve">Quelle: </w:t>
      </w:r>
      <w:r>
        <w:t>https://mcp.opencaselaw.ch/entscheid/ge_gerichte_ATAS_425_2011</w:t>
      </w:r>
    </w:p>
    <w:p>
      <w:r>
        <w:t>FR: GE_GERICHTE ATAS/425/2011 du 2 mai 2011</w:t>
      </w:r>
    </w:p>
    <w:p>
      <w:r>
        <w:t>IT: GE_GERICHTE ATAS/425/2011 del 2 maggio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w:t>
      </w:r>
    </w:p>
    <w:p>
      <w:r>
        <w:t>A/677/2011 - 7/10 -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En vertu de l’art. 54 al. 1 let. c LPGA, les décisions et décisions sur opposition sont exécutoires lorsque l’effet suspensif attribué à une opposition ou un recours a été retiré, étant précisé qu'en vertu de l'art. 97 de la loi fédérale sur l'assurance- vieillesse et survivants (LAVS ; RS 831.10) - applicable en vertu de l'art. 66 LAI -, les autorités administratives peuvent prévoir, dans leur décision, qu'un recours éventuel n'aura pas d'effet suspensif, même si la décision porte sur une prestation pécuniaire. Pour le reste, conformément à l’art. 55 al. 1 LPGA qui prévoit que les points de procédure qui ne sont pas réglés de manière exhaustive aux art. 27 à 54 LPGA ou par les dispositions des lois spéciales sont régis par la loi fédérale sur la procédure administrative (PA), il convient de se référer aux articles 55 et 56 de cette dernière. Une requête visant à la poursuite du paiement de la rente revient en réalité à requérir des mesures provisionnelles tendant au paiement de prestations pécuniaires au sens de l’art. 56 PA. Aux termes de l’art. 21 de la loi cantonale du 12 septembre 1985 sur la procédure administrative (LPA), l’autorité peut, d’office ou sur requête, ordonner des mesures provisionnelles en exigeant au besoin des sûretés. Ces mesures sont ordonnées par le Président s’il s’agit d’une autorité collégiale ou d’une juridiction administrative. La loi ne prévoit pas les conditions dans lesquelles des mesures provisionnelles peuvent être ordonnées. Il faut se référer pour cela à la doctrine et à la jurisprudence (cf. Pierre MOOR, droit administratif tomme 2, 2ème édition STAMPFLI p. 269 et ss et jurisprudence citée). Les mesures provisionnelles sont de deux catégories. D’une part, les mesures conservatoires qui visent à garantir que l’état de fait ou de droit qui est à la base de la décision prise ou à prendre ne se modifie pas pendant la litispendance; d’autre part les mesures formatrices qui régissent le contenu d’une</w:t>
      </w:r>
    </w:p>
    <w:p>
      <w:r>
        <w:t>A/677/2011 - 8/10 - relation juridique de manière temporaire, en attendant qu’elle reçoive un régime définitif dans la décision finale. Compte tenu de l’étroite connexité liant l’effet suspensif aux autres mesures provisionnelles au sens de l’art. 56 PA, les principes applicables au retrait de l’effet suspensif s’appliquent par analogie à ces mesures.</w:t>
      </w:r>
    </w:p>
    <w:p>
      <w:r>
        <w:rPr>
          <w:b/>
        </w:rPr>
        <w:t>E. 5</w:t>
      </w:r>
    </w:p>
    <w:p>
      <w:r>
        <w:t>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 En d'autres termes, les conditions à remplir pour l’octroi de mesures provisionnelles sont au nombre de trois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A noter que la pratique n’exige pas une atteinte irréversible. b. Le pronostic relatif à l’issue de la cause doit être favorable. Le recours ne doit pas apparaître de prime abord comme dépourvu de chance de succès.</w:t>
      </w:r>
    </w:p>
    <w:p>
      <w:r>
        <w:t>A/677/2011 - 9/10 - c. La mesure provisionnelle ne doit pas préjuger de la décision finale en créant par son propre effet une situation irréversible qui rende vaine l’issue du recours.</w:t>
      </w:r>
    </w:p>
    <w:p>
      <w:r>
        <w:rPr>
          <w:b/>
        </w:rPr>
        <w:t>E. 6</w:t>
      </w:r>
    </w:p>
    <w:p>
      <w:r>
        <w:t>En l'espèce, en l’état actuel de la procédure, les chances de succès de la recourante n'apparaissent pas aussi évidentes que le soutient son conseil. En effet, force est de constater qu'aucun document médical ne vient pour l'heure étayer son argumentation. Son médecin traitant a renoncé à se prononcer sur sa capacité de travail et n'a soulevé aucune objection au rapport d'expertise qui lui a été soumis et sur lequel l'intimé a basé sa décision. Dès lors, le rapport d'expertise doit se voir accorder, prima facie, pleine valeur probante. Or, il conclut à une capacité résiduelle de travail théorique de 80%. On rappellera que selon la jurisprudence, dans le contexte de la révision du droit à la rente, l'intérêt d'un assuré à pouvoir continuer à bénéficier de la rente allouée jusqu'alors n'est pas d'une importance décisive, tant qu'il n'y a pas lieu d'admettre que, selon toute vraisemblance, il l'emportera dans la cause principale. La situation matérielle difficile dans laquelle se trouve l'assurée depuis la suppression de sa rente d'invalidité ne saurait à cet égard constituer un élément déterminant. En pareilles circonstances, l'intérêt de l'administration apparaît généralement prépondérant puisque, dans l'hypothèse où l'assurée n'obtiendrait pas gain de cause sur le fond matériel de la contestation, il est en effet à craindre que la procédure en restitution des prestations versées à tort ne se révèle infructueuse (ATF I 439/06 du 19 septembre 2006, consid. 4 ; ATF 105 V 269 consid. 3; VSI 2000 p. 187 consid. 5).</w:t>
      </w:r>
    </w:p>
    <w:p>
      <w:r>
        <w:rPr>
          <w:b/>
        </w:rPr>
        <w:t>E. 7</w:t>
      </w:r>
    </w:p>
    <w:p>
      <w:r>
        <w:t>Eu égard aux considérations qui précèdent, la demande de restitution de l'effet suspensif est rejetée.</w:t>
      </w:r>
    </w:p>
    <w:p>
      <w:r>
        <w:t>A/677/2011 - 10/10 -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