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ATAS/425/2009 vom 8. April 2009</w:t>
      </w:r>
    </w:p>
    <w:p>
      <w:r>
        <w:t>GE Cour de justice, 2009-04-08, FR</w:t>
      </w:r>
    </w:p>
    <w:p>
      <w:r>
        <w:rPr>
          <w:b/>
        </w:rPr>
        <w:t xml:space="preserve">Quelle: </w:t>
      </w:r>
      <w:r>
        <w:t>https://mcp.opencaselaw.ch/entscheid/ge_gerichte_ATAS_425_2009</w:t>
      </w:r>
    </w:p>
    <w:p>
      <w:r>
        <w:t>FR: GE_GERICHTE ATAS/425/2009 du 8 avril 2009</w:t>
      </w:r>
    </w:p>
    <w:p>
      <w:r>
        <w:t>IT: GE_GERICHTE ATAS/425/2009 del 8 aprile 2009</w:t>
      </w:r>
    </w:p>
    <w:p>
      <w:pPr>
        <w:pStyle w:val="Heading2"/>
      </w:pPr>
      <w:r>
        <w:t>Erwägungen</w:t>
      </w:r>
    </w:p>
    <w:p>
      <w:r>
        <w:rPr>
          <w:b/>
        </w:rPr>
        <w:t>E. 1</w:t>
      </w:r>
    </w:p>
    <w:p>
      <w:r>
        <w:t>Est litigieuse en l'occurrence la question de savoir si le recourant présente une invalidité ouvrant le droit aux prestations de l'assurance-invalidité.</w:t>
      </w:r>
    </w:p>
    <w:p>
      <w:r>
        <w:rPr>
          <w:b/>
        </w:rPr>
        <w:t>E. 1.2</w:t>
      </w:r>
    </w:p>
    <w:p>
      <w:r>
        <w:t>p. 4 et les arrêts cités). Cela étant, s’agissant de l’évaluation de l’invalidité et de l’échelonnement des rentes, cette novelle n’a pas apporté de modifications substantielles (cf. Message concernant la modification de la loi fédérale sur l’assurance-invalidité [5ème révision], du 22 juin 2005, FF 2005 4215, p. 4322).</w:t>
      </w:r>
    </w:p>
    <w:p>
      <w:r>
        <w:rPr>
          <w:b/>
        </w:rPr>
        <w:t>E. 2</w:t>
      </w:r>
    </w:p>
    <w:p>
      <w:r>
        <w:t>Le 1er janvier 2008 sont entrées en vigueur les modifications de la LAI du 6 octobre 2006 (5ème révision de la LAI) Elles ne sont à prendre en considération pour déterminer les prestations dans le cas d'espèce, eu égard au principe selon lequel les règles applicables sont celles en vigueur au moment de la réalisation de l'état de fait dont les conséquences juridiques font l'objet de la décision (ATF 129 V 1 consid.</w:t>
      </w:r>
    </w:p>
    <w:p>
      <w:r>
        <w:rPr>
          <w:b/>
        </w:rPr>
        <w:t>E. 3</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w:t>
      </w:r>
    </w:p>
    <w:p>
      <w:r>
        <w:rPr>
          <w:b/>
        </w:rPr>
        <w:t>E. 4</w:t>
      </w:r>
    </w:p>
    <w:p>
      <w:r>
        <w:t>a) Depuis l'entrée en vigueur, le 1er janvier 2004, de la novelle du 21 mars 2003 modifiant la LAI (4ème révision) la teneur de l'art. 28 al. 1 LAI, valable jusqu'au 31 décembre 2007, est la suivante : «1. L'assuré a droit à une rente s'il est invalide à 40 % au moins. La rente est échelonnée comme suit, selon le taux d'invalidité : 40 % au moins un quart, 50 % au moins une demie, 60 % au moins trois-quarts, 70 % au moins rente entière.». b) Selon l'art. 29 al. 1 LAI, le droit à la rente au sens de l'art. 28 LAI prend naissance au plus tôt à la date à partir de laquelle l'assuré présente une incapacité de gain durable de 40 % au moins (art. 7 LPGA) (let. a) ou à partir de laquelle il a présenté, en moyenne, une incapacité de travail de 40 % au moins pendant une année sans interruption notable (art. 6 LPGA) (let. b).</w:t>
      </w:r>
    </w:p>
    <w:p>
      <w:r>
        <w:rPr>
          <w:b/>
        </w:rPr>
        <w:t>E. 5</w:t>
      </w:r>
    </w:p>
    <w:p>
      <w:r>
        <w:t>Les atteintes à la santé psychique peuvent, comme les atteintes physiques, entraîner une invalidité au sens de l’art. 4 al. 1er LAI en liaison avec l’art. 8 LPGA. On ne considère pas comme des conséquences d’un état psychique maladif, donc pas comme des affections à prendre en charge par l’assurance-invalidité, les diminutions de la capacité de gain que l’assuré pourrait empêcher en faisant preuve</w:t>
      </w:r>
    </w:p>
    <w:p>
      <w:r>
        <w:t>A/3884/2007 - 10/13 - de bonne volonté ; la mesure de ce qui est exigible doit être déterminée aussi objectivement que possible (ATF 102 V 165 ; VSI 2001 p. 224 consid. 2b et les références ; cf. aussi ATF 127 V 294 consid. 4c in fine).</w:t>
      </w:r>
    </w:p>
    <w:p>
      <w:r>
        <w:rPr>
          <w:b/>
        </w:rPr>
        <w:t>E. 6</w:t>
      </w:r>
    </w:p>
    <w:p>
      <w:r>
        <w:t>Les facteurs psychosociaux ou socioculturels ne figurent pas au nombre des atteintes à la santé susceptibles d’entraîner une invalidité au sens de l’art. 4 al. 1er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 il faut encore que le tableau clinique comporte d’autres éléments pertinents au plan psychiatrique tels que,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 VSI 2000 p. 155 consid. 3).</w:t>
      </w:r>
    </w:p>
    <w:p>
      <w:r>
        <w:rPr>
          <w:b/>
        </w:rPr>
        <w:t>E. 7</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w:t>
      </w:r>
    </w:p>
    <w:p>
      <w:r>
        <w:t>A/3884/2007 - 11/13 -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Le juge peut accorder pleine valeur probante aux rapports et expertises médicaux aussi longtemps que ceux-ci aboutissent à des résultats convaincants, que leurs conclusions soient sérieusement motivées, que ces avis ne contiennent pas de contradictions et qu'aucun indice concret ne permette de mettre en cause leur bien- fondé.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w:t>
      </w:r>
    </w:p>
    <w:p>
      <w:r>
        <w:rPr>
          <w:b/>
        </w:rPr>
        <w:t>E. 8</w:t>
      </w:r>
    </w:p>
    <w:p>
      <w:r>
        <w:t>En l'occurrence, le recourant a fait l'objet d'une expertise psychiatrique judiciaire. Cette expertise remplit tous les critères jurisprudentiels susmentionnés pour lui reconnaître une pleine valeur probante. Elle repose en effet sur un examen approfondi et consciencieux du recourant, l'appréciation est étayée et les conclusions sont convaincantes. Par ailleurs, elle n'est pas contredite par l'avis d'un autre spécialiste en psychiatrie. L'évaluation de l'expert judiciaire rejoint par ailleurs largement celle effectuée par le Dr N__________. Certes, ce médecin a considéré que la capacité de travail du recourant était diminuée. Cependant, il admettait en même temps ne pas pouvoir fixer le taux de cette diminution et qu'il serait nécessaire de le déterminer par une</w:t>
      </w:r>
    </w:p>
    <w:p>
      <w:r>
        <w:t>A/3884/2007 - 12/13 - expertise médicale. Il a par ailleurs indiqué que l'incapacité de travail était en majeure partie due à des raisons socio-économiques ou conjoncturelles plus qu'à une affection physique ou mentale. Selon l'expert judiciaire, le recourant ne présente aucune atteinte à la santé psychique entravant sa capacité de travail dans l'activité qui était la sienne, à savoir dans les établissements nocturnes, ainsi que dans le cadre d'un secrétariat qu'il se propose de créer. Le recourant a certes des traits de personnalité paranoïaque et de personnalité schizotypique. Toutefois, ceux-ci n'ont pas valeur de maladie et, pour l'instant, pas de répercussion sur la capacité de travail. Au vu de cette expertise, le Tribunal de céans constate que le recourant ne présente aucune invalidité lui ouvrant le droit aux prestations.</w:t>
      </w:r>
    </w:p>
    <w:p>
      <w:r>
        <w:rPr>
          <w:b/>
        </w:rPr>
        <w:t>E. 9</w:t>
      </w:r>
    </w:p>
    <w:p>
      <w:r>
        <w:t>Cela étant, le recours sera rejeté.</w:t>
      </w:r>
    </w:p>
    <w:p>
      <w:r>
        <w:rPr>
          <w:b/>
        </w:rPr>
        <w:t>E. 10</w:t>
      </w:r>
    </w:p>
    <w:p>
      <w:r>
        <w:t>Le recourant étant à la charge de l'Hospice général, le Tribunal de céans renonce à percevoir un émolument de justice.</w:t>
      </w:r>
    </w:p>
    <w:p>
      <w:r>
        <w:t>A/3884/2007 - 13/13 -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