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ATAS/424/2023 vom 12. Juni 2023</w:t>
      </w:r>
    </w:p>
    <w:p>
      <w:r>
        <w:t>GE Cour de justice, 2023-06-12, FR</w:t>
      </w:r>
    </w:p>
    <w:p>
      <w:r>
        <w:rPr>
          <w:b/>
        </w:rPr>
        <w:t xml:space="preserve">Quelle: </w:t>
      </w:r>
      <w:r>
        <w:t>https://mcp.opencaselaw.ch/entscheid/ge_gerichte_ATAS_424_2023</w:t>
      </w:r>
    </w:p>
    <w:p>
      <w:r>
        <w:t>FR: GE_GERICHTE ATAS/424/2023 du 12 juin 2023</w:t>
      </w:r>
    </w:p>
    <w:p>
      <w:r>
        <w:t>IT: GE_GERICHTE ATAS/424/2023 del 12 giugno 2023</w:t>
      </w:r>
    </w:p>
    <w:p>
      <w:pPr>
        <w:pStyle w:val="Heading2"/>
      </w:pPr>
      <w:r>
        <w:t>Erwägungen</w:t>
      </w:r>
    </w:p>
    <w:p>
      <w:r>
        <w:rPr>
          <w:b/>
        </w:rPr>
        <w:t>E. 25</w:t>
      </w:r>
    </w:p>
    <w:p>
      <w:r>
        <w:t>mars, 30 avril et 3 juin 2020. La société savait donc, avant de percevoir les indemnités RHT, qu’elle ne possédait pas un tel système de contrôle du temps fiable. Aucune analyse complémentaire n’était donc nécessaire et le comportement de la société était manifestement constitutif d’une négligence grave excluant la bonne foi. Si elle avait fait preuve de la « vigilance exigible », elle</w:t>
      </w:r>
    </w:p>
    <w:p>
      <w:r>
        <w:t>A/3818/2022 - 4/11 - aurait pu facilement se renseigner auprès des autorités compétentes, pour vérifier sa bonne conformité avec ses obligations. La situation sanitaire et la procédure simplifiée de demandes RHT auraient également dû l’amener à redoubler de vigilance, étant pour le surplus rappelé qu’elle était soumise à la même procédure et aux mêmes obligations que l’ensemble des employeurs qui demandaient les indemnités RHT. Le 17 novembre 2022, la société a formé recours contre cette décision, B. a. concluant à son annulation et à l’octroi de la remise. En substance, elle a fait valoir sa bonne foi en reprenant son argumentation précédente. De toute bonne foi, elle avait pensé remplir ses obligations en se basant sur un système déclaratif et la confiance qu’elle avait dans ses employés, rappelant que le SECO prévoyait la possibilité de se baser sur les relevés manuscrits des collaborateurs, voire sur un horaire fixe prédéfini, pour les petites entreprises, et que ses collaborateurs étant en télétravail dans un autre pays, il n’existait aucun moyen fiable de vérifier leurs enregistrements. L’autorité intimée ne remettait pour le surplus pas en question la réalisation de la seconde condition à la remise, le remboursement l’exposant à une situation de surendettement car la charge financière était insupportable et insurmontable. b. Le 13 décembre 2022, l’OCE a persisté dans les termes de sa décision, la société n’apportant aucun élément nouveau permettant de la revoir. c. Le 20 janvier 2023, la recourante a persisté.</w:t>
      </w:r>
    </w:p>
    <w:p>
      <w:r>
        <w:t>EN DROIT</w:t>
      </w:r>
    </w:p>
    <w:p>
      <w:r>
        <w:t>1. Conformément à l'art. 134 al. 1 let. a ch. 8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chômage obligatoire et l'indemnité en cas d'insolvabilité du 25 juin 1982 (loi sur l’assurance-chômage, LACI - RS 837.0). Sa compétence pour juger du cas d’espèce est ainsi établie. 2. Interjeté dans la forme et le délai prévus par la loi, le recours est recevable (art. 56ss LPGA, art. 62ss et 89B de la loi sur la procédure administrative du 12 septembre 1985 [LPA - E 5 10]). 3. Le litige porte sur la question de savoir si la recourante peut bénéficier d’une remise de l’obligation de restituer la somme de CHF 121'523.75.</w:t>
      </w:r>
    </w:p>
    <w:p>
      <w:r>
        <w:t>4.</w:t>
      </w:r>
    </w:p>
    <w:p>
      <w:r>
        <w:t>A/3818/2022 - 5/11 - 4.1 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4.2 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w:t>
      </w:r>
    </w:p>
    <w:p>
      <w:r>
        <w:t>A/3818/2022 - 6/11 -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 4.3 Selon l’art. 95 al. 2 loi fédérale sur l'assurance-chômage obligatoire et l'indemnité en cas d'insolvabilité du 25 juin 1982 (loi sur l’assurance-chômage, LACI - RS 837.0), la caisse exige de l’employeur la restitution de l’indemnité allouée en cas de réduction de l’horaire de travail ou d’intempéries quand cette indemnité a été versée à tort. Lorsque l’employeur est responsable de l’erreur, il ne peut exiger de ses travailleurs le remboursement de l’indemnité. 4.4 4.4.1 Selon le bulletin LACI RCRE / C2, il y a lieu de différencier l'ignorance, par le bénéficiaire, du fait qu'il n'avait pas droit aux prestations (ignorance de l’illicéité), du fait que l’assuré, en faisant preuve de l’attention que l’on pouvait exiger de lui, compte tenu des circonstances, aurait pu et dû reconnaître le vice juridique existant. En fait, l’assuré ne doit s’être rendu coupable non seulement d'aucune intention malicieuse, mais aussi d'aucune négligence grave. Il s'ensuit que la bonne foi, en tant que condition de la remise, est exclue d'emblée lorsque les faits qui conduisent à l'obligation de restituer sont imputables à un comportement dolosif ou à une négligence grave. En revanche, l'intéressé peut invoquer sa bonne foi lorsque l'acte ou l'omission fautifs ne constituent qu'une violation légère de l'obligation d'annoncer ou de renseigner (ATF 112 V 97 consid. 2c et références ; DTA 1992 no 7 p. 103 consid. 2b). Un comportement fautif a trait le plus souvent à la violation de l'obligation d'annoncer ou d'informer,</w:t>
      </w:r>
    </w:p>
    <w:p>
      <w:r>
        <w:t>A/3818/2022 - 7/11 - mais aussi au fait de ne pas se renseigner auprès de l'administration (DTA 1998 no 41 p. 234 consid. 4b et références). La bonne foi doit exister au moment de la perception des indemnités. Néanmoins, un assuré ne peut se prévaloir de la bonne foi au moment de la perception de l’indemnité, lorsqu’il devait s’attendre à une suspension de son droit aux indemnités de chômage en raison d’un comportement qu’il savait fautif. Cela est particulièrement le cas lorsqu’une sanction, pour des raisons inhérentes à l’instruction, ne peut intervenir que dans une période de contrôle ultérieure (p. ex. recherches de travail insuffisantes ou absence à un entretien de conseil). Enfin, en ce qui concerne la notion de bonne foi, la jurisprudence développée à propos de l'art. 47, al. 1, LAVS (valable jusqu’à l’entrée en vigueur de la LPGA) vaut par analogie en matière d'assurance- chômage. L’introduction de la LPGA n’a en rien modifié les notions relatives à l'appréciation de la bonne foi. 4.4.2 La bonne foi n'a pas été reconnue notamment lorsque les documents nécessaires au contrôle du temps de travail ont été jetés trop tôt (ATFA C 223/00 du 5.2.2001 consid. 3a ; ATFA C 162/03 du 24.3.2004) et s’agissant d’une entreprise requérant des indemnités de RHT ou INTEMP ne disposant d'aucun contrôle systématique du temps de travail (ATF 8C_120/2012 du 11.6.2012 ; ATF 8C_312/2012 du 19.6.2012). 4.5 4.5.1 L’art. 5 OPGA définit comme suit les conditions relatives à la reconnaissance de la situation difficile : « Il y a situation difficile, au sens de l’art. 25, al. 1, LPGA, lorsque les dépenses reconnues par la loi fédérale du 6.10.2006 sur les prestations complémentaires à l’assurance-vieillesse, survivants et invalidité (LPC) et les dépenses supplémentaires au sens de l’al. 4 sont supérieures aux revenus déterminants selon la LPC. » 4.5.2 Est déterminant, pour apprécier s’il y a une situation difficile, le moment où la décision de restitution est exécutoire (ATF 105 V 74 consid. 4, art. 4, al. 2, OPGA). 4.5.3 Pour les employeurs, on admet l’existence d’une situation difficile lorsque la somme à rembourser est supérieure à 20 % du bénéfice net moyen (solde positif du compte des pertes et profits / compte d’exploitation) des trois derniers exercices. Par exemple, si le bénéfice net annuel moyen des trois derniers exercices s’élève à CHF 100'000.- et que le montant à restituer s’élève à CHF 26'000.-, la remise accordée à l’employeur est de CHF 6'000.- (6 % du bénéfice annuel moyen). 4.6 Selon le bulletin LACI RHT / B34, pour que l’horaire de travail et, par conséquent, les heures effectivement accomplies soient suffisamment contrôlables, il faut que l’entreprise dispose d’un système d’enregistrement du temps de travail de tous les travailleurs pour lesquels elle demande la RHT. Ce dernier (p. ex. cartes de timbrage, rapports sur les heures) doit pouvoir rendre</w:t>
      </w:r>
    </w:p>
    <w:p>
      <w:r>
        <w:t>A/3818/2022 - 8/11 - compte quotidiennement des heures de travail fournies, y compris des éventuelles heures supplémentaires, de la perte de travail due aux conditions économiques, ainsi que de tout autre type d’absences telles que les vacances, les absences en cas de maladie, d’accident ou de service militaire. L’info-Service « L’indemnité en cas de RHT », la plateforme d’accès aux services en ligne (eServices ; art. 83, al. 1bis, let. d, LACI), le formulaire 716.300 « Préavis de RHT », de même que les décisions des autorités cantonales rendent clairement les employeurs attentifs à l’obligation pour les entreprises de procéder à un contrôle du temps de travail. A son chiffre B36, le bulletin précise que s’il s’avère ultérieurement, lors d’un contrôle chez l’employeur, que la perte de travail n’aurait pas dû être prise en considération parce qu’incontrôlable, faute de système de contrôle approprié, le SECO/TCRD exigera le remboursement de l’indemnité versée à tort. L'employeur ne pourra pas se prévaloir de sa bonne foi du fait que l'indemnité lui a été versée sans réserve à plusieurs reprises sur une longue période et ne pourra se soustraire à la décision de restitution (ATF 8C_469/2011 du 29.12.2011). L’employeur ne pourra pas non plus invoquer sa bonne foi pour demander une remise de l’obligation de restituer les prestations.</w:t>
      </w:r>
    </w:p>
    <w:p>
      <w:r>
        <w:t>5.</w:t>
      </w:r>
    </w:p>
    <w:p>
      <w:r>
        <w:t>5.1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5.2 Le juge des assurances sociales fonde sa décision, sauf dispositions contraires de la loi, sur les faits qui, faute d’être établis de manière irréfutable, apparaissent</w:t>
      </w:r>
    </w:p>
    <w:p>
      <w:r>
        <w:t>A/3818/2022 - 9/11 -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6. En l’espèce, la recourante considère que l’intimé aurait dû retenir sa bonne foi, aux motifs qu’elle était en pleine mutation après le départ de deux de ses administrateurs et qu’elle avait cherché en vain à implanter durant la pandémie un logiciel de contrôle du temps de travail. Un tel logiciel aurait en tout état été inutile, s’agissant d’employés en télétravail, pour lequel le principe de la confiance suffisait, ce d’autant qu’elle était une petite entreprise, pour laquelle le SECO admettait de se fonder sur les relevés manuscrits des collaborateurs, voire sur un horaire fixe prédéfini. Enfin, son obligation n’était pas claire à teneur des formulaires qu’elle a signés. La recourante ne conteste pas que l’obligation de disposer d’un système d’enregistrement du temps de travail ressortait des formulaires qu’elle a signés et renvoyés à l’intimé en vue d’obtenir des indemnités RHT. Si elle devait ne pas avoir compris son obligation, ce qui est douteux au vu du texte reporté sur lesdits formulaires, il lui appartenait de prendre contact avec l’intimé ou une autre autorité qui aurait été à même de répondre à ses questions. A tout le moins, aurait- elle dû s’assurer auprès de l’intimé que le système « fondé sur la confiance », qu’elle appliquait et qu’elle estimait suffisant, était admis pour retenir les heures à indemniser. Le fait qu’elle indique avoir voulu installer un système informatique de contrôle du temps de travail durant le confinement, mais en vain, démontre au demeurant qu’elle était pleinement consciente de son obligation et de son manquement, sans pour autant renoncer à demander des prestations auxquelles elle n’avait dès lors pas droit. A cela s’ajoute qu’elle ne saurait se prévaloir du départ de deux de ses administrateurs pour justifier la méconnaissance de ses obligations, ce départ étant intervenu en 2017, soit près de trois ans auparavant, ce qui laissait à l’administrateur actuel – qui était au demeurant auparavant titulaire de la signature collective à deux, et qui avait connaissance du fonctionnement de la société – le temps de mettre le système de contrôle du temps de travail en conformité. Les manquements de la recourante ne relèvent donc pas d’une omission légère et, dans ces circonstances et au regard des critères rappelés plus haut, c’est avec raison que l’intimé a estimé que la condition de la bonne foi n’était pas réalisée, ce qui s’oppose à la remise que la recourante requiert.</w:t>
      </w:r>
    </w:p>
    <w:p>
      <w:r>
        <w:t>A/3818/2022 - 10/11 - Les conditions de la remise étant cumulatives, il n’est pas nécessaire d’examiner le critère de la situation économique – critère que l’intimé avait au demeurant réfuté, contrairement à ce que la recourante soutient. En tout état, la recourante ne démontre pas qu’elle se retrouverait dans une situation économique difficile en cas de refus de remise, étant rappelé que le critère doit être réalisé au moment où la décision de restitution est exécutoire. 7. Eu égard à ce qui précède, la décision de l'intimée s'avère conforme au droit. Le recours sera donc rejeté. 8. Pour le surplus, la procédure est gratuite (art. 61 let. fbis LPGA en lien avec l'art. 1 al. 1 LACI).</w:t>
      </w:r>
    </w:p>
    <w:p>
      <w:r>
        <w:t>A/3818/2022 - 11/11 -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