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ATAS/424/2020 vom 27. Mai 2020</w:t>
      </w:r>
    </w:p>
    <w:p>
      <w:r>
        <w:t>GE Cour de justice, 2020-05-27, FR</w:t>
      </w:r>
    </w:p>
    <w:p>
      <w:r>
        <w:rPr>
          <w:b/>
        </w:rPr>
        <w:t xml:space="preserve">Quelle: </w:t>
      </w:r>
      <w:r>
        <w:t>https://mcp.opencaselaw.ch/entscheid/ge_gerichte_ATAS_424_2020</w:t>
      </w:r>
    </w:p>
    <w:p>
      <w:r>
        <w:t>FR: GE_GERICHTE ATAS/424/2020 du 27 mai 2020</w:t>
      </w:r>
    </w:p>
    <w:p>
      <w:r>
        <w:t>IT: GE_GERICHTE ATAS/424/2020 del 27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l'assurée aux prestations de l'assurance-invalidité, rente et/ou mesures professionnelles, singulièrement sur le taux d'invalidité donnant droit à ces prestations, et la question de savoir si elle a droit à des mesures d'ordre professionnel, en particulier à un stage d'orientation professionnelle.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A/2115/2019 - 12/27 -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w:t>
      </w:r>
    </w:p>
    <w:p>
      <w:r>
        <w:t>A/2115/2019 - 13/27 -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I. Catégorie « degré de gravité fonctionnel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w:t>
      </w:r>
    </w:p>
    <w:p>
      <w:r>
        <w:t>A/2115/2019 - 14/27 -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A/2115/2019 - 15/27 - incapacité de travail pour des raisons de santé ne se confond pas avec le chômage non assuré ou avec d’autres difficultés de vie (consid. 4.3.3). II. Catégorie « cohérence » Cette seconde catégorie comprend les indicateurs liés au comportement de l’assuré. (consid. 4.4). Limitation uniforme du niveau d'activité dans tous les domaines comparables de la vie (consid. 4.4.1), poids des souffrances révélé par l'anamnèse établie en vue du traitement et de la réadaptation (consid. 4.4.2).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t>A/2115/2019 - 16/27 -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8</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w:t>
      </w:r>
    </w:p>
    <w:p>
      <w:r>
        <w:rPr>
          <w:b/>
        </w:rPr>
        <w:t>E. 9</w:t>
      </w:r>
    </w:p>
    <w:p>
      <w:r>
        <w:t>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w:t>
      </w:r>
    </w:p>
    <w:p>
      <w:r>
        <w:t>A/2115/2019 - 17/27 - structurée n'est généralement requise (arrêt du Tribunal fédéral 9C_14/2018 du</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w:t>
      </w:r>
    </w:p>
    <w:p>
      <w:r>
        <w:t>A/2115/2019 - 18/27 - qu'il ne contient aucune observation clinique, il se distingue d'une expertise médicale (art. 44 LPGA) ou d'un examen médical auquel il arrive au SMR de procéder (art. 49 al. 2 du règlement du 17 janvier 1961 sur l’assurance-invalidité du</w:t>
      </w:r>
    </w:p>
    <w:p>
      <w:r>
        <w:rPr>
          <w:b/>
        </w:rPr>
        <w:t>E. 17</w:t>
      </w:r>
    </w:p>
    <w:p>
      <w:r>
        <w:t>En l'espèce, la décision entreprise est essentiellement fondée sur l'appréciation médicale de l'expert E______, dont les conclusions ont été reprises et validées par le SMR, lequel s'est également prononcé sur l'ensemble de l'état de santé de la recourante. Dans la mesure où la recourante conteste les conclusions de l'expert psychiatre, au motif qu'elles seraient en contradiction avec celles de sa psychiatre traitante, indépendamment du fait qu'elle remet également en cause les rapports successifs des médecins qui l'ont traitée aux HUG, y voyant également des contradictions internes, il y a lieu, dans un premier temps, d'examiner si l'on peut accorder une valeur probante, principalement au rapport d'expertise du Dr E______, et le cas échéant, dans la mesure de la recevabilité des critiques relatives aux pièces médicales concernant les aspects somatiques de l'atteinte de la recourante à sa santé, aux autres pièces médicales concernées.</w:t>
      </w:r>
    </w:p>
    <w:p>
      <w:r>
        <w:rPr>
          <w:b/>
        </w:rPr>
        <w:t>E. 18</w:t>
      </w:r>
    </w:p>
    <w:p>
      <w:r>
        <w:t>S'agissant de l'expertise psychiatrique confiée au Dr E______, comme rappelé précédemment, pour qu'une expertise confiée à un médecin indépendant puisse se voir reconnaître une pleine valeur probante, elle doit avoir été établie par un spécialiste reconnu, sur la base d'observations approfondies et d'investigations complètes, ainsi qu'en pleine connaissance du dossier ; l'expert, après avoir traité toutes les questions litigieuses importantes, doit aboutir à des résultats convaincants. Si ces conditions sont réunies, le juge ne saurait écarter les conclusions de l'expert, aussi longtemps qu'aucun indice concret ne permet de douter de leur bien-fondé (ATF 125 V 351 consid. 3b/bb). En l'occurrence, la chambre de céans constate que cette expertise a bien été établie par un spécialiste reconnu; les points litigieux importants ont fait l'objet d'une étude fouillée, en pleine connaissance du dossier, sur la base d'investigations complètes, en se prononçant sur les diagnostics à retenir, - en l'occurrence aucun diagnostic psychiatrique incapacitant -, et un trouble dépressif récurrent actuellement léger, n'ayant pas d'incidence sur la CT de l'expertisée. Sur le plan formel, le rapport de l'expert contient une anamnèse détaillée, des constatations objectives, découlant non seulement du dossier et en particulier des documents médicaux recueillis, mais</w:t>
      </w:r>
    </w:p>
    <w:p>
      <w:r>
        <w:t>A/2115/2019 - 21/27 - également d'un examen personnel de l'expertisée, laquelle était assistée d'un traducteur pendant toute la durée de l'examen, mais également des renseignements complémentaires que l'expert a sollicités de la Dresse B______, dont il a dûment tenu compte. Il a également indiqué les raisons pour lesquelles il s'écartait le cas échéant de l'appréciation de la psychiatre traitante, remarquant notamment que les états de grande confusion et de désorganisation évoqués par la psychiatre traitante semblent aller à l'encontre de la description que l'expertisée lui a faite, notamment de son fonctionnement hors professionnel, ceci non seulement dans le cadre de l'exécution de ses travaux habituels mais également par rapport aux ressources de l'intéressée, dans le cadre social et familial, (rapport d'expertise page 22 ad ch. 7.1). Il a également pris en considération les diagnostics médicaux ressortant du dossier, notamment ceux de trouble dépressif récurrent, épisode actuel moyen avec syndrome somatique [F 33. 10] retenu par la psychiatre traitante dans son rapport du 3 février 2016, ainsi que celui de trouble dépressif récurrent [F33.0] et d'état de stress post-traumatique (F43.1), posés par la Dresse C______ dans son rapport du</w:t>
      </w:r>
    </w:p>
    <w:p>
      <w:r>
        <w:rPr>
          <w:b/>
        </w:rPr>
        <w:t>E. 22</w:t>
      </w:r>
    </w:p>
    <w:p>
      <w:r>
        <w:t>janvier 2016. Se fondant sur ses propres constatations, mais également sur les critères retenus par la nomenclature psychiatrique internationale (CIM 10 et DSM- 5), il a justifié les raisons pour lesquelles il ne retenait pas le degré de gravité moyen du trouble dépressif retenu par la psychiatre traitante (rapport d'expertise page 16ss ad ch. 6.1); il a de même expliqué les raisons pour lesquelles il ne pouvait retenir le diagnostic d'état de stress post-traumatique (rapport d'expertise page 18ss ad ch. 6.2). À l'instar des constatations de la Dresse B______, qui les a bien décrites dans ses rapports médicaux, l'expert a observé que ce sont surtout les éléments qui sortent du champ médical qui s'influencent tous négativement qui sont au premier plan, soit les problèmes psychosociaux et socioculturels. Selon les principes rappelés précédemment et comme le retient la jurisprudence, là où l'expert ne relève pour l'essentiel que des éléments qui trouvent leur explication et leur source dans le champ socioculturel ou psychosocial, il n'y a pas d'atteinte à la santé à caractère invalidant (ATF 127 V 294 consid. 5a in fine). L'expert a également observé que quelles qu'en soient les raisons, la prise en charge psychiatrique était manifestement insuffisante, pour preuve le fait que pendant les périodes où la compliance était bonne, l'expertisée montrait une évolution favorable de son état, et elle pouvait également travailler. Il a également relevé que l'on ne trouvait pas de répercussion sur les activités ménagères, de loisirs, et sociales, mais qu'en revanche l'intéressée n'avait aucune attente concernant une activité lucrative. Par ailleurs, elle n'exprime guère de perspectives de rechercher un emploi. Ses conclusions sont cohérentes, l'expert estimant que moyennant une bonne compliance, hormis certaines périodes de dépression réactionnelle, notamment en 2005 et 2011, si l'assurée prenait régulièrement son traitement, elle devrait pouvoir exercer son activité précédente de femme de ménage, sans diminution de rendement; mais quoi qu'il en soit, il estime, par rapport à l'évolution de la CT, que d'un point de vue objectif le pronostic est bon, mais que d'un point de vue subjectif, l'assurée n'a aucune motivation véritable pour chercher un emploi. Une activité de</w:t>
      </w:r>
    </w:p>
    <w:p>
      <w:r>
        <w:t>A/2115/2019 - 22/27 - femme de ménage pourrait correspondre, mais l'intéressée a beaucoup de peine à s'adapter au rythme de travail en Suisse. Ces conclusions sont cohérentes et convaincantes, de sorte qu'aucun élément objectif démontrant que l'expert aurait négligé un aspect ou un autre, ne permet de douter de leur pertinence, voire d'un défaut d'objectivité de l'expert. De son côté, pour l'essentiel, la recourante reproche à l'expert d'arriver à des conclusions qui sont en contradiction avec celles de sa psychiatre traitante, alléguant même avoir indiqué dans sa contestation du projet de décision que cette dernière ne serait pas d'accord avec les conclusions de l'expert. Or, de ce point de vue, force est de constater que la recourante n'a produit aucun document médical émanant de sa psychiatre traitante, aux termes duquel elle exprimerait des critiques à l'égard de son confrère, encore moins en rapportant des éléments objectifs qui permettraient de douter de la fiabilité de l'appréciation de l'expert. En effet, tous les documents dont elle a fait état, provenant de sa psychiatre, sont antérieurs au rapport d'expertise, et comme on l'a vu précédemment, l'expert s'est prononcé en détail, de manière cohérente et convaincante, sur les raisons pour lesquelles il s'écartait des conclusions de la psychiatre traitante. C'est aussi le lieu de rappeler qu'en présence d'opinions différentes entre les médecins traitants et l'expert, il convient d'apprécier l'opinion des premiers en ayant à l'esprit la nature différente entre le mandat thérapeutique et le mandat d'expert, le juge pouvant et devant tenir compte du fait que, selon l'expérience, le médecin traitant est généralement enclin, en cas de doute, à prendre parti pour son patient en raison de la relation de confiance qui l'unit à ce dernier [ATF 125 V 351 consid. 3b/cc] (voir ci-dessus consid. 12 c et réf. citées). La recourante fait encore valoir que l'expert (psychiatre) lui reconnait une pleine capacité de travail dans une activité de femme de ménage, alors que ses médecins somaticiens considèrent qu'elle n'est plus capable d'exercer une telle activité, en raison de ses affections somatiques. C'est oublier que l'expert ne s'est prononcé que sur le plan psychiatrique. Cette critique ne saurait donc jeter un doute quant à la fiabilité de ses conclusions. Dès lors, au vu de ce qui précède, on doit reconnaître une pleine valeur probante au rapport d'expertise du Dr E______. 19. S'agissant des critiques de la recourante à l'égard de ses propres médecins traitants, somaticiens, au Programme santé migrants des HUG, elles ne sauraient convaincre. Elle oppose en effet le rapport de la Dresse C______ du 22 janvier 2016 à celui d'autres médecins de ce service, et en particulier de la Dresse D______, du 31 janvier 2017, soit datant d'un an plus tard. Or, il n'est pas incompatible qu'à distance d'une année, quand bien même les atteintes somatiques seraient les mêmes et les limitations fonctionnelles identiques, un même médecin, et a fortiori des praticiens différents, de même spécialité et dans un même service hospitalier puissent aboutir à des résultats différents, non seulement en fonction du dossier décrivant une situation passée, mais également en fonction d'une appréciation actualisée, et</w:t>
      </w:r>
    </w:p>
    <w:p>
      <w:r>
        <w:t>A/2115/2019 - 23/27 - estimer la CT d'un patient à un taux différent, en particulier dans une activité adaptée. En l'occurrence, la recourante voit une contradiction entre ces deux rapports, le plus ancien ayant évalué la CT dans une activité adaptée à 50 % moyennant une adaptation correcte du poste de travail, tenant compte du fait que la patiente présente une limitation de certains mouvements notamment, et le plus récent fixant cette CT à 100 % avec les restrictions suivantes : travailler longtemps en position assise, travailler debout de manière prolongée, se pencher, soulever et porter des poids, monter sur une échelle ou sur des escaliers, précisant que ces limitations étaient dues aux dorsolombalgies. À l'époque, en 2016, en effet, la Dresse C______ évaluait la CT dans une activité ne comportant pas de port de charges supérieures à 2 kg, ni de station debout prolongée, et pas de stress, à 4 heures par jour, soit à hauteur de 50 %. On ne saurait toutefois conclure à une contradiction entre ces deux avis : d'une part en fonction de ce qui a été dit ci-dessus, mais encore parce que l'évaluation de la Dresse D______ et ses collègues en 2017 concernait la CT en fonction des troubles somatiques uniquement, ce qui les a conduits à retenir que moyennant l'adaptation du poste de travail, la CT dans une activité adaptée pouvait être maintenue à hauteur de 100 %, ajoutant toutefois hormis les troubles somatiques, que la patiente souffrait de troubles psychiques générant une limitation de la CT. Or, l'aspect « trouble psychiques » a entre-temps fait l'objet d'une expertise psychiatrique, dont on connaît les conclusions, commentées ci-dessus. La recourante omet également de prendre en compte que la Dresse C______ avait mis en place des séances de physiothérapie, dont l'effet escompté pouvait très vraisemblablement avoir eu certains effets atténuants, ce qui ressort implicitement du rapport de la Dresse D______. La recourante reproche en outre aux médecins qui ont réévalué sa CT dans une activité adaptée, en 2017, de s'être bien gardés de mentionner les types d'activité envisageables, compte tenu du manque de qualification professionnelle et de sa faible scolarisation. Il lui sera rappelé d'une part qu'il appartient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mais pas d'énumérer les professions possibles; d'autre part le médecin doit se prononcer par rapport aux aspects médicaux et non pas évaluer les professions envisageables en fonction de limitations relevant de facteurs psychosociaux ou socioculturels, étrangers au droit de l'assurance-invalidité (ATF 107 V 17 consid. 2b; SVR 2006 IV n° 10 p. 39). 20. La recourante fait ensuite grief à l'intimé, au vu de ses précédentes critiques aboutissant selon elle, à ce que ni l'expertise du Dr E______, ni les rapports médicaux du Programme santé migrants des HUG, ne peuvent se voir reconnaître de valeur probante, de lui avoir refusé la mise sur pied des mesures d'observation</w:t>
      </w:r>
    </w:p>
    <w:p>
      <w:r>
        <w:t>A/2115/2019 - 24/27 - professionnelle propres, selon elle, à déterminer de manière précise si elle était encore en mesure d'exercer une activité adaptée en raison de son atteinte à la santé psychique (recours p. 3, ch. 8 et p. 6 ch. 13). Selon elle, un stage d'observation professionnelle devrait permettre de déterminer de manière plus précise des activités professionnelles qu'elle pourrait éventuellement réaliser, ainsi que le taux d'activité y relatif.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des mesures de réadaptation (art. 21 al. 4 LPGA).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w:t>
      </w:r>
    </w:p>
    <w:p>
      <w:r>
        <w:t>A/2115/2019 - 25/27 - Tribunal fédéral 9C_100/2008 du 4 février 2009 consid 3.2 et les références). En l'espèce ce dernier principe ne se pose pas.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c.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En l'espèce, on rappellera qu'au vu des conclusions de l'expert quant à la pleine CT de la recourante dans une activité adaptée, étant admis par l'intimé que l'exercice de la profession antérieurement exercée n'est plus possible, à tout le moins sans la</w:t>
      </w:r>
    </w:p>
    <w:p>
      <w:r>
        <w:t>A/2115/2019 - 26/27 - prise en compte des limitations fonctionnelles dues en particulier à ces dorsolombalgies, comme l'a constaté l'expert, la recourante est ainsi apte à exercer des activités simples et répétitives ne nécessitant pas de formation particulière. Comme cela ressort du dossier et notamment de l'expertise, la recourante n'a aucune attente d'une reprise d'une activité professionnelle, et elle n'a, à aucun moment, manifesté la volonté sérieuse de rechercher concrètement un emploi, ce qui, conformément à la jurisprudence et les dispositions légales topiques citées, lui incombe avant de solliciter des prestations de l'assurance-invalidité. Dans la procédure de recours, elle n'a pas davantage manifesté cette volonté, se limitant à solliciter un stage d'observation professionnelle, dont l'objectif serait notamment de définir le taux d'activité qu'elle pourrait réaliser dans telle ou telle profession. Dès lors que le taux d'activité dans une activité adaptée a d'ores et déjà été fixé à 100 %, et que d'autre part les difficultés qu'elle aurait éventuellement à trouver une telle activité tiennent à des éléments psychosociaux ou psychoculturels étrangers au droit de l'assurance-invalidité, on voit mal que le stage sollicité puisse avoir un effet sur la CT résiduelle de l'intéressée. En somme, la mesure sollicitée tend à remettre en question le taux de la CT exigible dans une activité adaptée, lequel a d'ores et déjà été fixé et confirmé par la chambre de céans comme on l'a vu ci-dessus. Ainsi, le grief de la recourante consistant à contester le refus de l'intimé de lui avoir consenti une telle mesure professionnelle n'est pas fondé; il doit donc être écarté. 21. Au vu de ce qui précède, le recours sera rejeté. La procédure n'étant pas gratuite (art. 69 al. 1bis LAI), il y a lieu de condamner la recourante au paiement d'un émolument de CHF 200.-.</w:t>
      </w:r>
    </w:p>
    <w:p>
      <w:r>
        <w:t>A/2115/2019 - 27/27 -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