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ATAS/424/2014 vom 25. März 2014</w:t>
      </w:r>
    </w:p>
    <w:p>
      <w:r>
        <w:t>GE Cour de justice, 2014-03-25, FR</w:t>
      </w:r>
    </w:p>
    <w:p>
      <w:r>
        <w:rPr>
          <w:b/>
        </w:rPr>
        <w:t xml:space="preserve">Quelle: </w:t>
      </w:r>
      <w:r>
        <w:t>https://mcp.opencaselaw.ch/entscheid/ge_gerichte_ATAS_424_2014</w:t>
      </w:r>
    </w:p>
    <w:p>
      <w:r>
        <w:t>FR: GE_GERICHTE ATAS/424/2014 du 25 mars 2014</w:t>
      </w:r>
    </w:p>
    <w:p>
      <w:r>
        <w:t>IT: GE_GERICHTE ATAS/424/2014 del 25 marzo 2014</w:t>
      </w:r>
    </w:p>
    <w:p>
      <w:pPr>
        <w:pStyle w:val="Heading2"/>
      </w:pPr>
      <w:r>
        <w:t>Erwägungen</w:t>
      </w:r>
    </w:p>
    <w:p>
      <w:r>
        <w:rPr>
          <w:b/>
        </w:rPr>
        <w:t>E. 1</w:t>
      </w:r>
    </w:p>
    <w:p>
      <w:r>
        <w:t>Déclare recevable la demande. Au fond :</w:t>
      </w:r>
    </w:p>
    <w:p>
      <w:r>
        <w:rPr>
          <w:b/>
        </w:rPr>
        <w:t>E. 2</w:t>
      </w:r>
    </w:p>
    <w:p>
      <w:r>
        <w:t>La rejette en tant qu’elle est dirigée contre Axa fondation LPP Suisse romande, Winterthur, et contre Pensionkasse Ernst &amp; Young.</w:t>
      </w:r>
    </w:p>
    <w:p>
      <w:r>
        <w:rPr>
          <w:b/>
        </w:rPr>
        <w:t>E. 3</w:t>
      </w:r>
    </w:p>
    <w:p>
      <w:r>
        <w:t>Réserve la suite de la procédure opposant K___________ à la Caisse de pension de Pricewaterhouse Coopers.</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w:t>
      </w:r>
    </w:p>
    <w:p>
      <w:r>
        <w:t>A/4413/2011 - 3/3 -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