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ATAS/423/2020 vom 27. Mai 2020</w:t>
      </w:r>
    </w:p>
    <w:p>
      <w:r>
        <w:t>GE Cour de justice, 2020-05-27, FR</w:t>
      </w:r>
    </w:p>
    <w:p>
      <w:r>
        <w:rPr>
          <w:b/>
        </w:rPr>
        <w:t xml:space="preserve">Quelle: </w:t>
      </w:r>
      <w:r>
        <w:t>https://mcp.opencaselaw.ch/entscheid/ge_gerichte_ATAS_423_2020</w:t>
      </w:r>
    </w:p>
    <w:p>
      <w:r>
        <w:t>FR: GE_GERICHTE ATAS/423/2020 du 27 mai 2020</w:t>
      </w:r>
    </w:p>
    <w:p>
      <w:r>
        <w:t>IT: GE_GERICHTE ATAS/423/2020 del 27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Sur le plan matériel, sont en principe applicables les règles de droit en vigueur au moment où les faits juridiquement déterminants se sont produits (ATF 129 V 1 consid. 1 ; ATF 127 V 467 consid. 1 et les références). Compte tenu de la date de la décision administrative en cause, qui détermine l'application dans le temps des règles légales au présent litige (ATF 130 V 447 consid. 1.2.1; ATF 127 V 467 consid. 1), il y a lieu de tenir compte de la modification réglementaire relative à l'évaluation de l'invalidité des assurés exerçant une activité lucrative à temps partiel entrée en vigueur le 1er janvier 2018</w:t>
      </w:r>
    </w:p>
    <w:p>
      <w:r>
        <w:t>A/438/2019 - 18/33 - (arrêt du Tribunal fédéral 9C_858/2017 du 20 février 2018 consid. 2.2). En effet, selon la jurisprudence, lors de l'évaluation de l'invalidité selon la méthode mixte, l'art. 27bis al. 2 à 4 du règlement sur l'assurance-invalidité du 17 janvier 1961 (RAI - RS 831.201) dans sa teneur du 1er décembre 2017 est applicable, eu égard au traitement uniforme et égal des assurés, à partir de l'entrée en vigueur de cette modification (arrêt du Tribunal fédéral 9C_553/2017 du 18 décembre 2017 consid. 5 et 6.2). Le droit éventuel aux prestations doit donc être examiné au regard de l'ancien droit pour la période jusqu'au 31 décembre 2017, et, après le 1er janvier 2018 en fonction des modifications susmentionnées (cf. ATAS/435/2019 du 13 mai 2019 consid. 10).</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entière.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des art. 28 al. 1 et 29 al. 1 LAI (dans leur teneur en vigueur depuis le 1er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A/438/2019 - 19/33 -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141 V 281 consid. 2.2 et 3.2; arrêt du Tribunal fédéral 8C_841/2016 du 30 novembre 2017 consid. 4.5.2). Dans sa jurisprudence récente (ATF 143 V 409 consid. 4.5 et ATF 143 V 418 consid. 6 et 7 du 30 novembre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aux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w:t>
      </w:r>
    </w:p>
    <w:p>
      <w:r>
        <w:t>A/438/2019 - 20/33 -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ATAS/676/2019 du 26 juillet 2019 consid. 10a; ATAS/856/2019 du</w:t>
      </w:r>
    </w:p>
    <w:p>
      <w:r>
        <w:rPr>
          <w:b/>
        </w:rPr>
        <w:t>E. 12</w:t>
      </w:r>
    </w:p>
    <w:p>
      <w:r>
        <w:t>septembre 2019 consid. 6). 9.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A/438/2019 - 21/33 -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A/438/2019 - 22/33 -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a. En l'occurrence, le rapport d'expertise pluridisciplinaire du 27 octobre 2015 remplit toutes les exigences auxquelles la jurisprudence soumet la valeur probante d'un tel document. En effet, il comprend le résumé du dossier, l'anamnèse, les indications subjectives de la recourante, des observations cliniques somatique et psychiatrique, ainsi qu'une discussion consensuelle du cas. Les conclusions des experts quant aux diagnostics et à la capacité de travail de la recourante sont motivées, et convaincantes. b. Les experts ont posé des diagnostics psychiatriques. Il convient donc d'examiner leur caractère invalidant à l'aune des indicateurs jurisprudentiels. S'agissant de l'« expression des éléments pertinents pour le diagnostic et des symptômes », l'expert psychiatre et le psychiatre traitant s'accordent pour dire que la recourante souffre, avec incidence sur sa capacité de travail, d'un trouble dépressif récurrent, dont l'intensité varie au cours du temps, ainsi que d'un trouble mixte de la personnalité, avec des composantes émotionnellement labiles et des traits schizotypiques. L'expert psychiatre a du reste motivé de manière circonstanciée les raisons pour lesquelles il a retenu ces diagnostics et exclu d'autres (troubles somatoformes, schizophrénie). S'agissant du « succès du traitement et de la réadaptation », la recourante consulte ses médecins traitants, y compris son psychiatre traitant, et prend des médicaments pour ses douleurs somatiques mais pas pour ses troubles psychiques (cf. rapport d'expertise, p. 408 et 416 du dossier AI). Les experts n'ont pas relevé que celle-ci était confrontée à un échec de toute thérapie médicalement indiquée. S'agissant de la « comorbidité », la recourante présente également des troubles somatiques concomitants au niveau du dos et des épaules qui entraînent des limitations fonctionnelles. Il faut toutefois encore examiner si l'interaction de ces troubles ayant valeur de maladie prive l'assurée de certaines ressources (arrêt du Tribunal fédéral 9C_756/2018 du 17 avril 2019 consid. 5.2.3). Or, en l'occurrence, les experts ont, sur la base des imageries et de leur examen clinique, énuméré toutes les limitations fonctionnelles à mettre objectivement en lien avec les atteintes</w:t>
      </w:r>
    </w:p>
    <w:p>
      <w:r>
        <w:t>A/438/2019 - 23/33 - somatiques constatées et conclu que celles-ci n'empêchent pas la pratique d'une activité adaptée à plein temps, avec une diminution de rendement de 15 % pour tenir compte de l'alternance des positions debout et assise dans une activité de bureau (cf. rapport d'expertise, p. 429 du dossier AI). S'agissant du complexe de « la personnalité », l'expert psychiatre a retenu à l'instar du psychiatre traitant un trouble spécifique de la personnalité au sens d'une classification diagnostique reconnue (F61.0). L'expert a, sur la base d'un instrument de mesure des aptitudes psychiques, constaté que si certaines des capacités de la recourante étaient diminuées (planification, structuration des tâches, flexibilité, capacité d'adaptation), et d'autres moyennement diminuées (capacité de jugement et de prise de décision, endurance, capacité de s'affirmer), en revanche, l'usage des compétences spécifiques était encore possible, de même que sa capacité à évoluer au sein d'un groupe dans une certaine mesure. Le trouble de la personnalité conjugué au trouble dépressif récurrent d'intensité moyenne ne diminuait pas de manière significative les ressources psychiques de la recourante ni ne renforçait son isolement social ou sa désinsertion professionnelle (p. 420 du dossier AI), étant relevé que, de l'aveu même de celle-ci, elle souhaitait travailler (p. 410). Pour ce qui est du « contexte social », la recourante maintenait des liens avec ses amis (p. 409 et 420) qu'elle voyait une fois par semaine (p. 421). L'environnement social de la recourante était donc positif. En ce qui concerne la catégorie « cohérence », l'expert psychiatre a relevé certaines discordances, car il n'a observé ni un ralentissement psychomoteur ni des troubles cognitifs, alors que la recourante alléguait que tel était le cas (p. 419). En outre, au moment de l'expertise, celle-ci était autonome dans les fonctions de la vie quotidienne. Elle faisait du sport (elle marchait beaucoup; p. 408), gérait ses tâches administratives, cuisinait, sortait se promener avec ses amis, lisait, regardait la télévision et tricotait (p. 409 et 420). Son hygiène personnelle était en outre conservée (p. 420). Au vu de l'analyse des indicateurs, on doit admettre avec l'expert psychiatre que la recourante dispose d'une capacité de travail de 50 % sur le plan psychique depuis le 2 juin 2013, date à compter de laquelle le psychiatre traitant a attesté que les affections psychiques de celle-ci influencent sa capacité de travail. L'expert a expliqué que ce taux tient compte des limitations fonctionnelles psychiques de la recourante, ainsi que des facteurs de pondération (échelles psychométriques avec des résultats élevés en cas de trouble de la personnalité, avec une composante émotionnellement labile; absence de ralentissement psychomoteur et de troubles cognitifs; p. 419-420). c. En ce qui concerne les rapports du psychiatre traitant des 28 février 2016,</w:t>
      </w:r>
    </w:p>
    <w:p>
      <w:r>
        <w:rPr>
          <w:b/>
        </w:rPr>
        <w:t>E. 13</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w:t>
      </w:r>
    </w:p>
    <w:p>
      <w:r>
        <w:t>A/438/2019 - 26/33 -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w:t>
      </w:r>
    </w:p>
    <w:p>
      <w:r>
        <w:rPr>
          <w:b/>
        </w:rPr>
        <w:t>E. 17</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w:t>
      </w:r>
    </w:p>
    <w:p>
      <w:r>
        <w:t>A/438/2019 - 29/33 -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18</w:t>
      </w:r>
    </w:p>
    <w:p>
      <w:r>
        <w:t>a. En l'espèce, le délai d'attente d'une année pour l'ouverture du droit à la rente a commencé à courir le 7 septembre 2009, date de l'incapacité de travail durable de la recourante, et est arrivé à échéance le 7 septembre 2010 (art. 28 al. 1 LAI). b/aa. En ce qui concerne le calcul de l'incapacité de gain dans la sphère professionnelle, il y a lieu de rappeler que la capacité de travail de la recourante était nulle dans toute activité à l'échéance du délai d'attente d'un an, ce qui correspond à une invalidité de 100 % (cf. ATAS/642/2015 du 31 août 2015 consid. 15c). b/bb. Pour la période du 2 novembre 2010 au 14 février 2011, la capacité de travail de la recourante était de 50 % dans toute activité. Dès lors que sa capacité résiduelle de travail était exploitable dans son activité habituelle d’employé administratif, qui est adapté à son état de santé, il est superflu de chiffrer les revenus avec et sans invalidité avec exactitude. Dans cette hypothèse, le degré d’invalidité, qui se confond en principe avec l’incapacité de travail, est, compte tenu d’un taux d’activité de 80 %, de 37,5 % ([80 % - 50 %] / 80 % × 100). b/cc. Pour la période du 15 février 2011 au 1er juin 2013, la capacité de travail de la recourante étant totale dans toute activité, elle ne subit pas de perte de gain.</w:t>
      </w:r>
    </w:p>
    <w:p>
      <w:r>
        <w:t>A/438/2019 - 30/33 - b/dd. Pour la période dès le 2 juin 2013, la capacité de travail de la recourante étant de 50 % dans toute activité, le degré d'invalidité est de 37,5%, comme exposé au consid. 18b/bb, jusqu’au 31 décembre 2017. Conformément à l'art. 27bis al. 3 let. a RAI en vigueur depuis le 1er janvier 2018, dans la mesure où le revenu sans invalidité correspondant au taux d’activité de 80 % est désormais extrapolé pour un taux d’activité de 100 %, le degré d’invalidité se confond avec l’incapacité de travail, soit en l’espèce 50 %. c. En ce qui concerne le taux d'invalidité en lien avec les travaux habituels, la chambre de céans constate que l'enquête économique sur le ménage a été effectuée par une personne qualifiée au domicile de la recourante, en présence de cette dernière. L'enquêtrice a rappelé l'atteinte à la santé dont celle-ci souffre et a pris en compte ses limitations fonctionnelles dans l'évaluation des empêchements ménagers. Elle a également relaté les indications de la recourante concernant les tâches qu'elle accomplissait avant son atteinte à la santé, et celles qu'elle continue à effectuer depuis lors. Les conclusions du rapport d'enquête économique, selon lesquelles l'empêchement dans la sphère ménagère est de 36,6%, reposent donc sur un examen concret des circonstances du cas d'espèce. Par conséquent, il y a lieu de retenir que l'enquête ménagère a pleine valeur probante, ce qui n'est pas contesté par la recourante. d. Il convient à présent de procéder aux calculs du degré d'invalidité global de la recourante, compte tenu d'une part professionnelle de 80 % et d'une part consacrée aux activités ménagères de 20 %. d/aa. À l'échéance du délai d'attente d'un an le 7 septembre 2010, le taux d'invalidité dans la sphère professionnelle est de 80 % (80 % × 100 %). Il est de 7,32 % dans la sphère ménagère (20 % × 36,60 %). Partant, le taux d'invalidité global de 87,32 % donne droit à une rente entière. d/bb. Pour la période du 2 novembre 2010 au 14 février 2011, ainsi que du 2 juin 2013 au 31 décembre 2017, le taux d'invalidité dans la sphère professionnelle est de 30 % (80 % × 37,50 %). Dans la sphère ménagère, il est de 7,32 % (20 % × 36,60 %). Partant, un degré d'invalidité global de 37,32 %, inférieur au taux minimal de 40 % (art. 28 al. 2 LAI), ne donne pas droit à une rente d'invalidité. d/cc. Pour la période du 15 février 2011 au 1er juin 2013, compte tenu de la pleine capacité de travail de la recourante dans toute activité, il convient de retenir qu’elle ne subissait pas d’empêchement notable dans la tenue de son propre ménage pendant cette période (arrêt du Tribunal fédéral des assurances I 392/05 et I 420/05 du 24 août 2006 consid. 4.1). De toute manière, un taux d’invalidité de 0 % dans la sphère professionnelle additionné à celui de 7,32 % dans la sphère ménagère, aboutit à un degré d’invalidité global de 7,32 %, qui est inférieur au taux de 40 %. d/dd. Pour la période dès le 1er janvier 2018, le taux d'invalidité dans la sphère professionnelle est de 40 % (80 % × 50 %). Dans la sphère ménagère, il est de 7,32 % (20 % × 36,60 %). Partant, un degré d'invalidité global de 47,32 %, arrondi</w:t>
      </w:r>
    </w:p>
    <w:p>
      <w:r>
        <w:t>A/438/2019 - 31/33 - à 47 % (ATF 130 V 121 consid. 3.2), donne droit à un quart de rente (art. 28 al. 2 LAI), comme retenu à juste titre par l’intimé.</w:t>
      </w:r>
    </w:p>
    <w:p>
      <w:r>
        <w:rPr>
          <w:b/>
        </w:rPr>
        <w:t>E. 19</w:t>
      </w:r>
    </w:p>
    <w:p>
      <w:r>
        <w:t>a. Reste encore à déterminer la date à compter de laquelle la rente entière doit être octroyée et supprimée. b. La rente d’invalidité ne peut être versée conformément à l’art. 29 al. 3 LAI (soit dès le début du mois au cours duquel le droit prend naissance), qu'à condition que l’assuré ait présenté sa demande dans le délai de six mois avant l’expiration du délai d’attente d’une année. Si l’assuré dépose sa demande à l’office AI plus de six mois après le début de son incapacité de travail (ou du délai d’attente), il s’agit d’une demande tardive, ayant pour conséquence la perte du droit à la rente pour chaque mois de retard (cf. Michel VALTERIO, Droit de l’assurance-vieillesse et survivants et de l’assurance-invalidité, Commentaire thématique, 2011, n. 2187- 2190; Circulaire de l’office fédéral des assurances sociales sur l’invalidité et l’impotence dans l’assurance-invalidité, chiffres 2025 et 2027). c. En cas de décision simultanée sur l'octroi d'une rente et son remplacement par une autre rente ou même sa suppression, le changement est régi par l'art. 88a RAI,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étant précisé que la modification du droit à la rente n’intervient qu’après l’écoulement de trois mois complets (cf. ATAS/218/2017 du 21 mars 2017 consid. 23b). d. In casu, la recourante a déposé sa demande de prestations le 5 mai 2010, soit plus de six mois après le début de son incapacité de travail durable le 7 septembre 2009. Il s’agit donc d’une demande tardive (deux mois de retard), ayant pour conséquence que sa rente entière d’invalidité ne peut lui être versée qu’à partir du 1er novembre 2010, ce jusqu’au 28 février 2011 (soit trois mois après l’amélioration de la capacité de gain dès le 2 novembre 2010).</w:t>
      </w:r>
    </w:p>
    <w:p>
      <w:r>
        <w:rPr>
          <w:b/>
        </w:rPr>
        <w:t>E. 20</w:t>
      </w:r>
    </w:p>
    <w:p>
      <w:r>
        <w:t>Au vu de ce qui précède, le recours sera partiellement admis et la décision du</w:t>
      </w:r>
    </w:p>
    <w:p>
      <w:r>
        <w:rPr>
          <w:b/>
        </w:rPr>
        <w:t>E. 21</w:t>
      </w:r>
    </w:p>
    <w:p>
      <w:r>
        <w:t>novembre 2018 réformée, en ce sens que la recourante a droit à une rente d’invalidité entière du 1er novembre 2010 au 28 février 2011. La recourante, représentée,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1'000.-.</w:t>
      </w:r>
    </w:p>
    <w:p>
      <w:r>
        <w:t>A/438/2019 - 32/33 - Étant donné que, depuis le 1er juillet 2006, la procédure n'est plus gratuite (art. 69 al. 1bis LAI), au vu du sort du recours, il y a lieu de condamner l'intimé au paiement d'un émolument, arrêté en l’espèce à CHF 200.-.</w:t>
      </w:r>
    </w:p>
    <w:p>
      <w:r>
        <w:t>A/438/2019 - 33/33 -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