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ATAS/423/2016 vom 30. Mai 2016</w:t>
      </w:r>
    </w:p>
    <w:p>
      <w:r>
        <w:t>GE Cour de justice, 2016-05-30, FR</w:t>
      </w:r>
    </w:p>
    <w:p>
      <w:r>
        <w:rPr>
          <w:b/>
        </w:rPr>
        <w:t xml:space="preserve">Quelle: </w:t>
      </w:r>
      <w:r>
        <w:t>https://mcp.opencaselaw.ch/entscheid/ge_gerichte_ATAS_423_2016</w:t>
      </w:r>
    </w:p>
    <w:p>
      <w:r>
        <w:t>FR: GE_GERICHTE ATAS/423/2016 du 30 mai 2016</w:t>
      </w:r>
    </w:p>
    <w:p>
      <w:r>
        <w:t>IT: GE_GERICHTE ATAS/423/2016 del 30 maggio 2016</w:t>
      </w:r>
    </w:p>
    <w:p>
      <w:pPr>
        <w:pStyle w:val="Heading2"/>
      </w:pPr>
      <w:r>
        <w:t>Erwägungen</w:t>
      </w:r>
    </w:p>
    <w:p>
      <w:r>
        <w:rPr>
          <w:b/>
        </w:rPr>
        <w:t>E. 1</w:t>
      </w:r>
    </w:p>
    <w:p>
      <w:r>
        <w:t>Le recourant requiert la restitution de l'effet suspensif au recours, en se prévalant de sa situation financière précaire, étant père de six enfants avec une épouse sans activité lucrative et du fait que, s’il était débouté, l’assureur perte de gain maladie rembourserait les prestations d’assurance-accident à l’intimée.</w:t>
      </w:r>
    </w:p>
    <w:p>
      <w:r>
        <w:rPr>
          <w:b/>
        </w:rPr>
        <w:t>E. 2</w:t>
      </w:r>
    </w:p>
    <w:p>
      <w:r>
        <w:t>a. Selon l'art. 54 al. 1 let. c LPGA, les décisions et les décisions sur opposition sont exécutoires lorsque l'effet suspensif attribué à une opposition ou à un recours a été retiré. b. Selon l’art. 11 OPGA,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suppression</w:t>
      </w:r>
    </w:p>
    <w:p>
      <w:r>
        <w:t>A/1240/2016 - 6/7 -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Dans ce contexte, la jurisprudence a également précisé que le retrait de l'effet suspensif survenant dans le cadre de la suppression ou de la diminution des prestations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voir également arrêt 8C_451/2010 du 10 novembre 2010 consid. 2 à 4, in SVR 2011 IV n° 33 p. 96).</w:t>
      </w:r>
    </w:p>
    <w:p>
      <w:r>
        <w:rPr>
          <w:b/>
        </w:rPr>
        <w:t>E. 3</w:t>
      </w:r>
    </w:p>
    <w:p>
      <w:r>
        <w:t>En l'occurrence, au vu des avis contraires des Drs C_______ et E_______, d’une part, et du Dr D_______, d’autre part, le degré de certitude de l’issue du litige est insuffisant pour pouvoir être pris en compte dans le cadre d’une restitution de l’effet suspensif au recours. Par ailleurs, à l’évidence, le recourant, qui se prévaut de sa situation financière précaire, ne pourrait rembourser les prestations, s’il devait s’avérer par la suite que celles-ci n’étaient juridiquement pas fondées. A cet égard, le recourant estime que les droits de l’intimée seraient préservés car l’assureur-maladie perte de gain serait tenu de rembourser à l’intimée les prestations versées à tort. Cependant, le droit éventuel du recourant à une indemnité journalière perte de gain de la part de l’Avenir assurance maladie SA doit s’examiner au regard des conditions prévues dans le contrat soumis à la loi fédérale sur le contrat d'assurance (LCA), question qui excède l’objet du présent litige. Cela étant, les conditions pour accorder la restitution de l’effet suspensif au recours contre la décision querellée ne sont en l’espèce pas remplies.</w:t>
      </w:r>
    </w:p>
    <w:p>
      <w:r>
        <w:rPr>
          <w:b/>
        </w:rPr>
        <w:t>E. 4</w:t>
      </w:r>
    </w:p>
    <w:p>
      <w:r>
        <w:t>Par conséquent, la requête en restitution de l’effet suspensif sera rejetée et le fond réservé.</w:t>
      </w:r>
    </w:p>
    <w:p>
      <w:r>
        <w:t>A/1240/2016 - 7/7 -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