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ATAS/423/2011 vom 3. Mai 2011</w:t>
      </w:r>
    </w:p>
    <w:p>
      <w:r>
        <w:t>GE Cour de justice, 2011-05-03, FR</w:t>
      </w:r>
    </w:p>
    <w:p>
      <w:r>
        <w:rPr>
          <w:b/>
        </w:rPr>
        <w:t xml:space="preserve">Quelle: </w:t>
      </w:r>
      <w:r>
        <w:t>https://mcp.opencaselaw.ch/entscheid/ge_gerichte_ATAS_423_2011</w:t>
      </w:r>
    </w:p>
    <w:p>
      <w:r>
        <w:t>FR: GE_GERICHTE ATAS/423/2011 du 3 mai 2011</w:t>
      </w:r>
    </w:p>
    <w:p>
      <w:r>
        <w:t>IT: GE_GERICHTE ATAS/423/2011 del 3 maggio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d'invalidité, cas échéant des mesures d'ordre professionnel dès le 1er février 2005.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à être prises en considération dans le présent litige que pour les faits postérieurs au 1er janvier 2008, eu égard au principe précité selon lequel les règles applicables sont celles en vigueur au moment de la réalisation de l'état de fait dont les conséquences juridiques font l'objet de la décision.</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 27 juin 2008 qui a été confirmé par la décision du 5 septembre 2008 contre laquelle l'assuré a interjeté directement recours devant le Tribunal cantonal des assurances sociales le 6 octobre 2008.</w:t>
      </w:r>
    </w:p>
    <w:p>
      <w:r>
        <w:t>A/3609/2008 - 14/20 - c) Interjeté dans les forme et délai prévus par la loi, devant l'autorité compétente, le recours est en conséquence recevable (art. 56 ss LPGA).</w:t>
      </w:r>
    </w:p>
    <w:p>
      <w:r>
        <w:rPr>
          <w:b/>
        </w:rPr>
        <w:t>E. 3</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d)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w:t>
      </w:r>
    </w:p>
    <w:p>
      <w:r>
        <w:t>A/3609/2008 - 15/20 - p. 224 consid. 2b et les références ; cf. aussi ATF 127 V 294 consid. 4c in fine).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4</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A/3609/2008 - 16/20 -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w:t>
      </w:r>
    </w:p>
    <w:p>
      <w:r>
        <w:t>A/3609/2008 - 17/20 - viole pas le droit d'être entendu selon l'art. 29 al. 2 Cst. (SVR 2001 IV n° 10 p. 28 consid. 4b), la jurisprudence rendue sous l'empire de l'art. 4 aCst. étant toujours valable (ATF 124 V 94 consid. 4b, 122 V 162 consid. 1d et l'arrêt cité).</w:t>
      </w:r>
    </w:p>
    <w:p>
      <w:r>
        <w:rPr>
          <w:b/>
        </w:rPr>
        <w:t>E. 5</w:t>
      </w:r>
    </w:p>
    <w:p>
      <w:r>
        <w:t>Dans le cas d'espèce, la Cour estime que l'expertise du Dr E_________ a pleine valeur probante. Son rapport a été établi en pleine connaissance du dossier, sur la base de plusieurs entretiens avec l'intéressée, il prend en considération les plaintes de la patiente ainsi que l'histoire médicale de celle-ci, ses conclusions sont claires et elles ont été complétées et motivées en audience. A la différence de l'expertise du Dr C_________, celle du Dr E_________ est fondée sur une anamnèse très complète, qui précise notamment l'évolution de la toxicomanie de l'assurée et la situation de ses deux enfants. L'expert explique de façon convaincante que la toxicomanie passée de l'assurée, qui est totalement sevrée d'héroïne depuis 2001 et de cocaïne depuis 2009, n'a eu aucune conséquence sur ses capacités cognitives, de sorte que cela n'a pas de répercussions sur sa capacité de travail. De même, et bien que cela ne soit pas expressément mentionné, il va de soi qu'à défaut d'affection psychiatrique invalidante préexistante à la toxicomanie ou consécutive à celle-ci, on ne peut pas retenir, même à l'époque où l'assurée consommait encore de la cocaïne (entre 2007 et 2009 en tout cas) et durant laquelle elle était peut-être incapable de travailler de ce fait, que cette toxicodépendance avait valeur de maladie invalidante à la charge de l'OAI, eu égard à la jurisprudence constante du Tribunal fédéral a cet égard. C'est donc à juste titre que l'expert retient que les diagnostics liés à une ancienne dépendance n'ont pas de conséquence sur la capacité de travail de l'assurée.</w:t>
      </w:r>
    </w:p>
    <w:p>
      <w:r>
        <w:t>L'expert retient en outre le diagnostic de personnalité émotionnellement labile de type borderline, ainsi que celui, probable, de déficit de l'attention, mais affirme que ces affections n'entraînent pas d'incapacité de travail. L'assurée fait grief à l'expert de ne pas motiver son avis et de se contredire en retenant des limitations fonctionnelles. En premier lieu, si l'expert relève que les caractéristiques cliniques de ces affections sont incompatibles avec certains milieux professionnels et/ou impliquent une diminution de rendement, il confirme, dument questionné à ce sujet, que cela n'implique pas d'incapacité de travail. Ainsi, il est établi que l'impulsivité, le mauvais contrôle des émotions, ainsi que la lenteur et les difficultés d'attention sont peu compatibles avec un emploi impliquant un contact avec des personnes fragiles, voire une profession exigeant une grande concentration, beaucoup de contrôle de soi et des compétences cognitives élaborées. Toutefois, ces traits de la personnalité ainsi que le déficit d'attention ne sont pas des limitations à une activité dans l'industrie ou le conditionnement, par exemple. De même, si la lenteur, la distraction et les difficultés à respecter des horaires conduisent certainement à une diminution de rendement, celle-ci n'excède pas 20% dans une activité adaptée selon l'expert. Cette pleine capacité de travail est d'ailleurs confirmée par l'anamnèse, soulignée en audience par l'expert, et qui révèle que l'assurée a effectivement</w:t>
      </w:r>
    </w:p>
    <w:p>
      <w:r>
        <w:t>A/3609/2008 - 18/20 - travaillé jusqu'en 2001, notamment dans un atelier de bijouterie, alors qu'elle présentait déjà les caractéristiques de ces deux affections.</w:t>
      </w:r>
    </w:p>
    <w:p>
      <w:r>
        <w:t>En second lieu, l'expert confirme que la situation sociale et familiale de l'assurée aggrave le trouble de la personnalité borderline et que, même si celle-ci était complètement déchargée de toutes ses tâches de mère et du stress lié à ses responsabilités familiales, assumées seule, les limitations fonctionnelles énumérées seraient toujours présentes avec comme conséquence une légère diminution de rendement. S'il est exact que la nécessité d'une prise en charge des enfants de l'assurée de façon optimale pour que celle-ci puisse travailler ne relève pas en principe de l'assurance invalidité, il faut relever, dans le cas d'espèce, que c'est en raison de l'affection psychiatrique dont souffre l'assurée que le cumul des tâches - mère de famille et travailleuse - aggrave les conséquences de la maladie et les limitations en découlant, sans que l'on puisse à l'évidence exiger de l'assurée, au titre de la diminution du dommage, qu'elle ne soit pas mère de famille.</w:t>
      </w:r>
    </w:p>
    <w:p>
      <w:r>
        <w:t>Il faut donc retenir au degré de la vraisemblance prépondérante que l'assurée dispose d'une pleine capacité de travail, avec un rendement limité à 80%, dans une activité n'exigeant ni compétences cognitives spécifiques (calculs, etc.), ni concentration importante, sans exigence de rendement et sans stress.</w:t>
      </w:r>
    </w:p>
    <w:p>
      <w:r>
        <w:t>Dans le cas d'espèce, la demande de prestations d'invalidité date de janvier 2005 et le dernier emploi salarié stable de l'assurée a pris fin vraisemblablement en avril 2000, date du début de l'assistance financière par l'Hospice Général, sans compter les quelques mois d'emploi temporaire ultérieurs. Au demeurant, le dernier revenu réalisé par l'assurée en 2000 ou en 2001 n'a pas été déterminé. L'assurée n'allègue pas qu'elle réalisait comme ouvrière en atelier de bijouterie, un salaire supérieur à celui ressortant des ESS, TA1, niveau 4, femme, et qui impliquerait une perte de gain supérieure à 20%. Ainsi, pour le calcul du taux d'invalidité, tant le revenu d'invalide que celui sans invalidité doivent être tirés du même salaire issu des statistiques, de sorte qu'en raison d'une diminution de rendement de 20%, sans motif d'abattement supplémentaire, car lors du début de l'incapacité de travail en 2004, ayant fondé la demande de 2005, l'assurée avait 35 ans et était inactive depuis 4 ans seulement, le taux d'invalidité est de 20%, ce qui n'ouvre aucun droit à une rente d'invalidité.</w:t>
      </w:r>
    </w:p>
    <w:p>
      <w:r>
        <w:rPr>
          <w:b/>
        </w:rPr>
        <w:t>E. 6</w:t>
      </w:r>
    </w:p>
    <w:p>
      <w:r>
        <w:t>S'agissant des conclusions de l'assurée tendant à l'octroi de mesures professionnelles, il faut en premier lieu relever que l'instruction de la cause n'a jamais porté sur cette question, l'OAI ayant toujours retenu une pleine capacité de travail sans diminution de rendement et l'assurée ayant toujours allégué une incapacité de travail totale. C'est après la dernière expertise que l'assurée conclut à un reclassement, au vu de la durée de son inactivité et à ses limitations qui excluraient l'activité en atelier de bijouterie et d'aide soignante, ces métiers ayant beaucoup évolué selon elle. A noter, d'une part, que l'assurée n'a pas suivi de</w:t>
      </w:r>
    </w:p>
    <w:p>
      <w:r>
        <w:t>A/3609/2008 - 19/20 - formation et que sa capacité de travail est admise dans une activité simple, sans exigence de formation spécifique, y compris celle exercée auparavant dans un atelier de bijouterie. Un reclassement, au sens d'une formation pour exercer un autre métier, ne se justifie donc pas, à défaut d'incapacité à exercer sa profession antérieure. De plus, la capacité d'apprentissage de l'assurée est limitée en raison de l'affection dont elle souffre et elle ne pourrait pas assumer un emploi certes mieux rémunéré qu'un travail manuel et répétitif, car plus qualifié, mais aussi plus exigeant en termes de compétences cognitives et de stress, et donc incompatible avec les limitations retenues.</w:t>
      </w:r>
    </w:p>
    <w:p>
      <w:r>
        <w:t>En second lieu, l'assurée est en effet restée inactive durant plus de 11 ans, de sorte qu'un réentraînement à l'effort progressif sur quelques mois serait certainement bénéfique. Un réentraînement à l'effort à la charge de l'OAI se justifierait dans l'hypothèse d'une incapacité de travail totale ou en tout cas importante de longue durée suivie d'une amélioration de l'état de santé permettant la reprise du travail après toutefois une période de réentrainement à l'effort progressif. Tel n'est pas le cas et le déconditionnement de l'assurée ne peut pas être mis sur le compte de l'invalidité, dès lors que l'expert admet que la capacité de travail avec une diminution de rendement est demeurée la même depuis le début des affections, qui sont antérieures à l'arrêt de travail de 2004. Au demeurant, il faut aussi que l'assurée ait pu organiser la prise en charge adéquate de son fils cadet, condition indispensable à toute reprise du travail, même en atelier. Cela étant, il serait envisageable et souhaitable de solliciter l'Hospice général, cas échéant ensuite l'Office cantonal de l'emploi pour la mise en place d'un tel stage de réentrainement combiné avec une prise en charge optimale en crèche de l'enfant cadet de l'assurée.</w:t>
      </w:r>
    </w:p>
    <w:p>
      <w:r>
        <w:t>Les conclusions de l'assurée tendant à l'octroi de mesures professionnelles doivent donc aussi être rejetées.</w:t>
      </w:r>
    </w:p>
    <w:p>
      <w:r>
        <w:rPr>
          <w:b/>
        </w:rPr>
        <w:t>E. 7</w:t>
      </w:r>
    </w:p>
    <w:p>
      <w:r>
        <w:t>Le recours, mal fondé, est rejeté et la recourante, qui succombe, est condamnée à un émolument de 200 fr. (art. 69 al. 1 bis LAI).</w:t>
      </w:r>
    </w:p>
    <w:p>
      <w:r>
        <w:t>A/3609/2008 - 20/20 -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