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ATAS/422/2021 vom 4. Mai 2021</w:t>
      </w:r>
    </w:p>
    <w:p>
      <w:r>
        <w:t>GE Cour de justice, 2021-05-04, FR</w:t>
      </w:r>
    </w:p>
    <w:p>
      <w:r>
        <w:rPr>
          <w:b/>
        </w:rPr>
        <w:t xml:space="preserve">Quelle: </w:t>
      </w:r>
      <w:r>
        <w:t>https://mcp.opencaselaw.ch/entscheid/ge_gerichte_ATAS_422_2021</w:t>
      </w:r>
    </w:p>
    <w:p>
      <w:r>
        <w:t>FR: GE_GERICHTE ATAS/422/2021 du 4 mai 2021</w:t>
      </w:r>
    </w:p>
    <w:p>
      <w:r>
        <w:t>IT: GE_GERICHTE ATAS/422/2021 del 4 maggio 2021</w:t>
      </w:r>
    </w:p>
    <w:p>
      <w:pPr>
        <w:pStyle w:val="Heading2"/>
      </w:pPr>
      <w:r>
        <w:t>Erwägungen</w:t>
      </w:r>
    </w:p>
    <w:p>
      <w:r>
        <w:rPr>
          <w:b/>
        </w:rPr>
        <w:t>E. 17</w:t>
      </w:r>
    </w:p>
    <w:p>
      <w:r>
        <w:t>La recourante conteste devoir ces montants, dans la mesure où M. B______ avait abusé de sa confiance en déclarant qu’il avait un statut d’indépendant, qu’il n’y avait pas eu de contrat de travail entre elle et M. B______, qu’elle ignorait jusqu’au contrôle de juillet 2019 que ce dernier n’avait pas officialisé son statut d’indépendant.</w:t>
      </w:r>
    </w:p>
    <w:p>
      <w:r>
        <w:rPr>
          <w:b/>
        </w:rPr>
        <w:t>E. 18</w:t>
      </w:r>
    </w:p>
    <w:p>
      <w:r>
        <w:t>Il ressort du dossier qu’un premier contrat de travail a lié la recourante à M. B______, du 1er décembre 2009 au 30 novembre 2010. Les raisons de la modification de ce contrat de travail en un contrat de partenariat sont controversées, la recourante soutenant que cela avait été fait pour éviter des saisies sur salaire de l’appelé en cause alors que ce dernier explique avoir dû accepter un congé modification. La recourante a produit un avis concernant une saisie de salaire de M. B______ du 6 octobre 2010, de sorte que les allégations de la recourante apparaissent très vraisemblables. En tous les cas, l’on constate que, dans les faits, les relations contractuelles ont persisté sous la forme d’une collaboration dans la durée. En outre, conformément au premier contrat, l’appelé en cause a continué à travailler dans les locaux de la recourante pour le compte de cette dernière, avec une certaine liberté d’organisation mais dans le respect d’un cadre contractuel équivalant à un contrat de travail rémunéré à la commission. L’appelé en cause était tenu d’exécuter personnellement les tâches qui lui étaient confiées, assistait aux présentations de la recourante et faisait l’objet d’évaluations (document intitulé point de la situation du 25 février 2019). Il apparaît être dans une relation contractuelle dépendante avec la recourante, dans le cadre d’une collaboration régulière sur de nombreuses années. Le fait que l’appelé en cause était rémunéré à la commission lui permettait d’avoir une grande liberté dans l’organisation de son travail mais l’obligeait à fournir une activité régulière pour réaliser un revenu</w:t>
      </w:r>
    </w:p>
    <w:p>
      <w:r>
        <w:t>A/3251/2020 - 8/9 - régulier, ce qu’il a fait depuis son engagement au sein de l’association de la recourante. Conformément à la jurisprudence précitée, les exigences sont élevées pour reconnaître le statut d’indépendant à celui qui a été précédemment employé par le même employeur. Dans ce cas, les faits parlent majoritairement en faveur d’une activité dépendante, intitulée « indépendante » dans le but de contourner des conséquences que les parties ne souhaitaient pas. La décision de la recourante est donc bien conforme à la loi. Le recours sera rejeté. Il sera rappelé que la recourante est débitrice en tant qu’employeuse des cotisations paritaires entières aux termes de l’art. 14 al. 1 LAVS (voir aussi GREBER/DUC/SCARTAZZINI, Commentaire des articles 1 à 16 LAVS, n°16 ad art. 14 LAVS), bien qu’elle considère qu’elle a été trompée par M. B______. Elle a cependant la possibilité d’intenter une action récursoire soumise aux règles de droit civil contre ce dernier pour la part de cotisations à sa charge (arrêt du Tribunal fédéral des assurances, 1958 p. 237 ; RCC 1949 p. 388 et ss). * * * * * *</w:t>
      </w:r>
    </w:p>
    <w:p>
      <w:r>
        <w:t>A/3251/2020 - 9/9 -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