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ATAS/422/2020 vom 27. Mai 2020</w:t>
      </w:r>
    </w:p>
    <w:p>
      <w:r>
        <w:t>GE Cour de justice, 2020-05-27, FR</w:t>
      </w:r>
    </w:p>
    <w:p>
      <w:r>
        <w:rPr>
          <w:b/>
        </w:rPr>
        <w:t xml:space="preserve">Quelle: </w:t>
      </w:r>
      <w:r>
        <w:t>https://mcp.opencaselaw.ch/entscheid/ge_gerichte_ATAS_422_2020</w:t>
      </w:r>
    </w:p>
    <w:p>
      <w:r>
        <w:t>FR: GE_GERICHTE ATAS/422/2020 du 27 mai 2020</w:t>
      </w:r>
    </w:p>
    <w:p>
      <w:r>
        <w:t>IT: GE_GERICHTE ATAS/422/2020 del 27 maggio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5</w:t>
      </w:r>
    </w:p>
    <w:p>
      <w:r>
        <w:t>Le litige porte sur la question de savoir si c’est à juste titre que l’intimée a mis un terme à ses prestations avec effet au 23 octobre 2018, singulièrement si le statu quo sine vel ante a effectivement été retrouvé à cette date.</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La responsabilité de l'assureur-accidents s'étend, en principe, à toutes les conséquences dommageables qui se trouvent dans un rapport de causalité naturelle</w:t>
      </w:r>
    </w:p>
    <w:p>
      <w:r>
        <w:t>A/2917/2019 - 9/19 -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c.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RAMA 1994 n° U 206 p. 326 consid. 3b, 1992 n° U 142 p. 75; arrêts 8C_373/2013 du 11 mars 2014 consid. 3.2; 8C_1003/2010 du 22 novembre 2011 consid. 1.2; 8C_552/2007 du 19 février 2008 consid. 2; FRÉSARD / MOSER- SZELESS, L'assurance-accidents obligatoire, in Schweizerisches Bundesverwaltungsrecht [SBVR], Sécurité sociale, 3 e éd., n os 107 ss p. 930). A contrario, aussi longtemps que le statu quo sine vel ante n'est pas rétabli, l'assureur-accidents doit prendre à sa charge le traitement de l'état maladif préexistant, dans la mesure où il s'est manifesté à l'occasion de l'accident ou a été</w:t>
      </w:r>
    </w:p>
    <w:p>
      <w:r>
        <w:t>A/2917/2019 - 10/19 - aggravé par ce dernier (arrêt du Tribunal fédéral 8C_373/2013 du 11 mars 2014 consid. 3.2). En principe, on examinera si l'atteinte à la santé est encore imputable à l'accident ou ne l'est plus (statu quo ante ou statu quo sine) sur le critère de la vraisemblance prépondérante, usuel en matière de preuve dans le domaine des assurances sociales (ATF 129 V 177 consid. 3.1 et ATF 129 V 402 consid. 4.3.1 et les références).</w:t>
      </w:r>
    </w:p>
    <w:p>
      <w:r>
        <w:rPr>
          <w:b/>
        </w:rPr>
        <w:t>E. 7</w:t>
      </w:r>
    </w:p>
    <w:p>
      <w:r>
        <w:t>a. Aux termes de l'art. 6 al. 2 LAA dans sa teneur en vigueur depuis le 1er janvier 2017, l'assurance alloue également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du 20 décembre 1982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Jusqu'au 31 décembre 2016, les lésions mentionnées à l'art. 9 al. 2 aOLAA étaient assimilées à un accident même si elles avaient, pour l'essentiel, une origine vraisemblablement maladive ou dégénérative, pour autant qu'une cause extérieure ait, au moins, déclenché les symptômes dont souffrait l'assuré (cf. arrêt du Tribunal fédéral 8C_578/2013 du 13 août 2014 consid. 2.1 et les références). Ainsi, pour admettre l'existence d'un lien de causalité naturelle, il suffisait que l'événement accidentel provoque en partie l'atteinte à la santé (arrêt du Tribunal fédéral des assurances U 171/05 du 23 mai 2006 consid. 4) malgré l'origine en grande partie dégénérative de celle-ci (arrêt du Tribunal fédéral 8C_358/2015 du 14 mars 2016 consid. 6.2.1). Le droit aux prestations pour une lésion assimilée à un accident prenait fin lorsque le retour à un statu quo ante ou à un statu quo sine était établi, c'est-à-dire lorsque l'état de santé était similaire à celui qui existait immédiatement avant l'accident ou à celui qui serait survenu même sans l'accident par la suite d'un développement ordinaire. Toutefois, de telles lésions étaient assimilées à un accident aussi longtemps que leur origine maladive ou dégénérative, à l'exclusion d'une origine accidentelle, n'était pas clairement établie. On ne se fondait donc pas simplement sur le degré de vraisemblance prépondérante pour admettre l'évolution d'une telle atteinte vers un statu quo sine (arrêt du Tribunal fédéral 8C_578/2013 du 13 août 2014 consid. 2.2 et les références).</w:t>
      </w:r>
    </w:p>
    <w:p>
      <w:r>
        <w:t>A/2917/2019 - 11/19 - c/aa. Depuis le 1er janvier 2017, le nouveau droit ne requiert plus l’existence d’un facteur extérieur. L’assurance-accidents est en effet tenue à prestations dès qu’une lésion corporelle comprise dans la liste est diagnostiquée (Jenny CASTELLA, Les lésions corporelles assimilées à un accident à l’aune de la première révision de la LAA, in RSAS 2020 p. 3). Il s’agit d’une présomption légale que ladite lésion est assimilée à un accident. L’assureur peut toutefois prouver que cette lésion est due de manière prépondérante à l’usure ou à une maladie (Pierre GABUS / Lucile BONAZ, Le nouveau droit des lésions corporelles assimilées à un accident : une révolution silencieuse, in RSAS 2019 p. 377). Pour que la preuve libératoire soit admise, il appartient à l’assureur-accidents de démontrer, au degré de la vraisemblance prépondérante, en se fondant sur des avis médicaux probants, que la lésion corporelle est due, à plus de 50 % de tous les facteurs en cause, à l’usure ou à une maladie (arrêt du Tribunal fédéral 8C_22/2019 du 24 septembre 2019 consid. 8.2.2). c/bb. Dans l’arrêt de principe 8C_22/2019 du 24 septembre 2019, destiné à la publication, le Tribunal fédéral a notamment détaillé la marche à suivre. Ainsi, à réception de l’annonce d’une lésion figurant dans la liste de l’art. 6 al. 2 LAA, l’assureur doit déterminer si les critères d’un accident au sens de l’art. 4 LPGA sont réalisés : - Dans l’affirmative, l’assureur doit prendre en charge les conséquences de l’atteinte conformément à l’art. 6 al. 1 LAA et ce jusqu’à ce que l’accident ne représente plus la cause naturelle et adéquate de l’atteinte soit, en d’autres termes, jusqu’à ce que l’atteinte à la santé repose uniquement sur des causes étrangères à l’accident ou, en d’autres termes, jusqu’à ce que le statu quo ante vel sine soit atteint (consid. 5.1, 8.5 et 9.1) ; - Dans la négative, l’assureur doit examiner une prise en charge sous l’angle de l’art. 6 al. 2 LAA. D’emblée, il y a présomption de la responsabilité de l’assureur-accidents pour les suites d’une de ces lésions à moins qu’il ne démontre que celle-ci soit due de manière prépondérante, donc à plus de 50 % (consid. 8.2.2.1 et 8.6), à l’usure ou à une maladie (consid. 8.2.2.2 concernant les notions d’usure et de maladie; consid. 9.1 pour le surplus). Dans le cas de l’art. 6 al. 2 LAA, l’obligation de prester de l’assurance-accidents prend fin lorsque la lésion corporelle résulte à plus de 50 % de l’usure ou d’une maladie (voir Jenny CASTELLA, op. cit., p. 35). d. Dans son arrêt ATAS/747/2019 du 22 août 2019 consid. 17d. § 6, la chambre de céans a considéré que la jurisprudence rendue sous l’empire de l’ancien droit, selon laquelle la responsabilité de l’assureur-accidents était engagée, en dépit de l'origine en grande partie dégénérative de la lésion corporelle, lorsque celle-ci avait été provoquée, du moins partiellement, par un événement accidentel, ne pouvait être maintenue au vu de la teneur de l’art. 6 al. 2 LAA qui prévoyait une exclusion de prise en charge en cas de cause prédominante due à l'usure ou à la maladie. La</w:t>
      </w:r>
    </w:p>
    <w:p>
      <w:r>
        <w:t>A/2917/2019 - 12/19 - chambre de céans a ainsi considéré, dans l’arrêt précité, que si dans un cas donné, il était établi au degré la vraisemblance prépondérante que, parmi les causes concurrentes des lésions corporelles énumérées à l’art. 6 al. 2 LAA - dont il était présumé qu’elles avaient été causées ou aggravées par un événement accidentel -, l’état dégénératif ou maladif était prépondérant à plus de 50 %, l’assureur n’intervenait pas (ou plus) bien que l’accident fut (encore) en partie à l’origine de l’atteinte à la santé. Cette jurisprudence a été rendue quelques semaines avant l’arrêt du Tribunal fédéral 8C_22/2019 du 24 septembre 2019. Or, dans l’arrêt précité, le Tribunal fédéral a considéré que lorsque les critères d’un accident sont réalisés, l’assureur doit prendre en charge les conséquences de cet accident jusqu’à que celles-ci résultent exclusivement de causes étrangères à l’accident, soit jusqu’à ce que le statu quo ante vel sine soit atteint (consid. 5.1, 8.5 et 9.1). e. Contrairement à ce qui prévalait jusqu’au 31 décembre 2016, en présence d’une lésion figurant dans la liste de l’art. 6 al. 2 LAA, l’assuré ne peut plus se contenter de « s’engouffrer » vers ce rattachement, en pensant qu’il s’agit d’une voie de facilité (cf. Pierre GABUS et Lucile BONAZ, op. cit, p. 383). Même en présence d’une lésion apparaissant sur la liste de la disposition précitée, il convient d’examiner si l’atteinte peut être rattachée à la notion ordinaire d’accident. Dans l’affirmative, l’assuré bénéficie de l’application de l’art. 36 al. 1 LAA. En d’autres termes, l’assureur ne peut se libérer de son obligation de prester que s’il démontre que l’atteinte à la santé est exclusivement due à la maladie. En fin de compte, ce n’est que dans les cas où les lésions ne sont pas consécutives à un accident que l’art. 6 al. 2 LAA est d’un intérêt pour l’assuré (ibidem).</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w:t>
      </w:r>
    </w:p>
    <w:p>
      <w:r>
        <w:t>A/2917/2019 - 13/19 -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A/2917/2019 - 14/19 -</w:t>
      </w:r>
    </w:p>
    <w:p>
      <w:r>
        <w:rPr>
          <w:b/>
        </w:rPr>
        <w:t>E. 9</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A/2917/2019 - 15/19 - c.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a. En l’espèce, le 25 avril 2018, le recourant a glissé en sortant de la douche. Il est tombé et s’est cogné le genou au sol. Les examens pratiqués par la suite ont montré des stigmates d’une luxation latérale de la rotule, une contusion rotulienne marginale infério-médiale, une impaction à la face latérale du condyle fémoral latéral et une hémarthrose (cf. IRM du genou droit du 30 avril 2018), une chondropathie patellaire de grade IV, une patella de type Wiberg 3 et une discrète altération inchangée de la corne postérieure du ménisque interne, sans signe de déchirure (cf. IRM du genou droit du 24 janvier 2019), une instabilité externe de la rotule du genou droit, une lésion chondrale de la facette de la rotule de grade III et IV et un status après luxation externe de la rotule (cf. compte-rendu opératoire du 4 avril 2019). En présence d’une lésion figurant sur la liste de l’art. 6 al. 2 LAA (i.e. luxation de la rotule, ce qui correspond au déboîtement d’une articulation ; let. b), il convient de déterminer si les critères d’un accident sont réalisés. Or, dans la mesure où le recourant a glissé puis chuté avant de se cogner le genou au sol, les conditions d’un accident sont de toute évidence réalisées, ce qui n’est au demeurant pas contesté par les parties. Par conséquent, l’intimée est tenue de prester jusqu’à ce que l’accident en question ne représente plus la cause naturelle et adéquate, même partielle, de l’atteinte. En d’autres termes, l’assurance doit prester jusqu’à ce que l’atteinte à la santé repose uniquement sur des causes sans rapport avec l’accident (cf. arrêt du Tribunal fédéral 8C_22/2019 consid. 9.1), soit jusqu’à ce qu’un statu quo sine vel ante ait été atteint au degré de la vraisemblance prépondérante. C’est le lieu de rappeler, dans ce contexte, que le recours à l’art. 6 al. 2 LAA n’intervient désormais, depuis le 1er janvier 2017, plus que dans la mesure où les lésions listées</w:t>
      </w:r>
    </w:p>
    <w:p>
      <w:r>
        <w:t>A/2917/2019 - 16/19 - à l’art. 6 al. 2 LAA ne sont pas dues à un événement pouvant être qualifié d’accident au sens de l’art. 4 LPGA (arrêt du Tribunal fédéral 8C_22/2019 du 24 septembre 2019 destiné à la publication). b. Cela étant rappelé, force est de constater que les médecins du recourant (cf. rapport du Prof D______ du 18 juillet 2019) et de l’intimée (cf. rapport du Dr F______ du 6 juin 2019) sont unanimes sur le fait que : - Le recourant présente tant une prédisposition constitutionnelle (déviation de l’appareil extenseur) qu’un état antérieur (deux épisodes de luxation avant l’événement litigieux, le premier épisode ayant eu pour conséquence la rupture du ligament MPFL) ; - L’état antérieur (i.e. l’instabilité fémoro-patellaire chronique consécutive aux premiers épisodes de luxation) et le trouble constitutionnel (i.e. la déviation de l’appareil extenseur) ont vraisemblablement facilité la luxation de la rotule lors de la chute du 25 avril 2018. - Les lésions cartilagineuses au niveau de la rotule droite (i.e. la chondropathie) sont le résultat des trois épisodes de luxation. Pour leur part, les parties admettent que l’événement du 25 avril 2018 a aggravé l’état antérieur. Elles s’opposent en revanche sur l’importance de cette aggravation, l’intimée retenant une aggravation temporaire, avec un statu quo retrouvé le 23 octobre 2018, ce qui est contesté par le recourant. En d’autres termes, la chambre de céans doit examiner si les atteintes toujours présentées par le recourant en date du 23 octobre 2019 sont encore dues à l’accident assuré, même si ce n’est que partiellement ou indirectement. Dans la mesure où l’intimée s’est fondée sur les rapports de ses médecins-conseils, les Drs E______ et F______, pour retenir le statu quo contesté, il convient d’examiner la valeur probante de ces documents. Force est tout d’abord de constater que les médecins-conseils précités se sont prononcés sur dossier. Or, selon la jurisprudence fédérale, pour pouvoir avoir une pleine valeur probante, une appréciation sur dossier doit se fonder sur suffisamment d’appréciations médicales qui, elles, se basent sur un examen personnel de l’assuré (cf. consid. 8c/bb supra). Un examen approfondi du dossier soumis à la chambre de céans permet toutefois de constater que les pièces médicales sur lesquelles se sont fondés les médecins-conseils de l’intimée ne portent pas sur l’état de santé et les plaintes du recourant ainsi que les constatations cliniques des médecins à la période litigieuse, soit au mois d’octobre 2018. Par conséquent, pour ce motif déjà, les appréciations des médecins-conseils de l’intimée présentent une valeur probante amoindrie. À cela s’ajoute le fait que lesdites appréciations ne répondent pas à tous les réquisits jurisprudentiels en la matière. En effet, l’appréciation du Dr E______ du 8 avril 2018 est rédigée de manière vague, sans décrire les pièces figurant au dossier ou encore les troubles et plaintes</w:t>
      </w:r>
    </w:p>
    <w:p>
      <w:r>
        <w:t>A/2917/2019 - 17/19 - du recourant. Le Dr E______ ne précise pas non plus les atteintes préexistantes qui auraient été décompensées voire aggravées par l’accident. Enfin, ses conclusions quant à la date du retour au statu quo sine ne sont aucunement motivées. Partant, aucune valeur probante ne peut être accordée à ce rapport. Quant à l’appréciation du Dr F______ du 6 juin 2019, même si elle paraît plus complète et plus argumentée que celle du Dr E______, elle ne revêt pas non plus une pleine valeur probante. En effet, si le médecin précité a bien résumé les pièces au dossier, il n’a procédé à aucune anamnèse. On ne connaît donc pas précisément les antécédents du recourant, si ce n’est qu’il a été victime de deux premiers épisodes de luxation 8 et 10 ans auparavant, sans autres précisions. On ne connait pas non plus les plaintes du recourant en automne 2018 ni les constatations cliniques effectuées par les médecins à cette période. Dans de telles conditions, les conclusions du Dr F______ sont purement théoriques, dès lors qu’elles ne prennent pas en considération la situation particulière du recourant à la période litigieuse. Cela étant relevé, force est également de constater que les conclusions du Dr F______ relatives au retour à un statu quo sont contradictoires sur plusieurs points. En effet, le médecin précité évoque tout d’abord tant un statu quo ante (cf. appréciation du 6 juin 2019, dans laquelle il a écrit qu’« un retour à l’état qui existait avant ce nouvel événement est probable au plus tard six mois après l’événement » ; voir également consid. 6c supra pour la définition de la notion de statu quo ante) qu’un statu quo sine (cf. appréciation du 6 juin 2019, dans laquelle il a écrit « un statu quo sine a été manifestement retrouvé le 23 octobre 2018. Cet état est équivalent à celui qui aurait existé si l’accident ne s’était pas produit » ; voir également consid. 6c supra pour la définition de la notion de statu quo sine). Ensuite, quelle que soit la variante retenue (statu quo sine ou statut quo ante), le Dr F______ a considéré qu’en date du 23 octobre 2018, les symptômes que le recourant présentait encore - dont la nature et l’importance ne ressortent pas du dossier faute d’instruction dans ce sens - n’étaient plus dus à la décompensation de l’état antérieur, qui était dès lors à ses yeux uniquement temporaire. Ces conclusions sont toutefois surprenantes lorsqu’on sait que le Dr F______ a considéré, dans son appréciation du 6 juin 2019, que les lésions de chondropathie rotulienne sont le résultat des trois épisodes de luxation. Ce faisant, le médecin- conseil précité a implicitement retenu une aggravation, selon toute vraisemblance durable, de l’état antérieur du recourant. Il est, ainsi, contradictoire de considérer que l’accident assuré a uniquement déstabilisé de façon temporaire l’état antérieur et qu’au 23 octobre 2018, l’état de santé de celui-ci était équivalent soit à celui existant avant l’accident (statu quo ante) soit à celui qui aurait existé si l’accident ne s’était pas produit (statu quo sine) et de retenir, en même temps, que l’accident du 25 avril 2018 a aggravé les lésions du cartilage, lesquelles ne sont, de toute évidence, pas temporaires. Enfin, le Dr F______ n’explique pas non plus pour quels motifs l’instabilité rotulienne préexistante n’a été déstabilisée que de manière temporaire et non pas aggravée par l’accident assuré.</w:t>
      </w:r>
    </w:p>
    <w:p>
      <w:r>
        <w:t>A/2917/2019 - 18/19 - En résumé, le dossier de l’intimée ne contient aucun rapport médical circonstancié et probant permettant de connaître, d’une part, les antécédents du recourant et, d’autre part, son état de santé à la période litigieuse. Dans de telles conditions, les constatations des médecins-conseils de l’intimée sont purement théoriques et ne permettent pas de se prononcer valablement sur le retour à un statu quo sine vel ante. De son côté, le recourant ne produit pas non plus de rapports probants permettant de se prononcer sur la date d’un éventuel retour à un statu quo, le Prof D______ ne s’étant pas exprimé sur ce point dans son rapport du 18 juillet 2019. Dans ces circonstances, la chambre de céans n’est pas en mesure de se déterminer de manière définitive sur la date d’un potentiel retour à un statu quo. Dans la mesure où l’intimée a constaté les faits sur la base des rapports de ses médecins- conseils très peu motivés et ne disposant d’aucune valeur probante, il n’appartient pas au juge de suppléer aux carences administratives, de sorte que le dossier sera renvoyé à l’intimée pour instruction complémentaire sur la question du retour à un statu quo, instruction au cours de laquelle il conviendra notamment de procéder à une anamnèse en bonne et due forme, en sollicitant le médecin traitant du recourant ainsi que le Prof D______, avant d’ordonner, éventuellement une expertise orthopédique.</w:t>
      </w:r>
    </w:p>
    <w:p>
      <w:r>
        <w:rPr>
          <w:b/>
        </w:rPr>
        <w:t>E. 11</w:t>
      </w:r>
    </w:p>
    <w:p>
      <w:r>
        <w:t>Au vu de ce qui précède, le recours sera partiellement admis. La décision sur opposition du 26 juin 2019 sera annulée et la cause renvoyée pour instruction complémentaire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A/2917/2019 - 19/19 -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