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ATAS/422/2019 vom 14. Mai 2019</w:t>
      </w:r>
    </w:p>
    <w:p>
      <w:r>
        <w:t>GE Cour de justice, 2019-05-14, FR</w:t>
      </w:r>
    </w:p>
    <w:p>
      <w:r>
        <w:rPr>
          <w:b/>
        </w:rPr>
        <w:t xml:space="preserve">Quelle: </w:t>
      </w:r>
      <w:r>
        <w:t>https://mcp.opencaselaw.ch/entscheid/ge_gerichte_ATAS_422_2019</w:t>
      </w:r>
    </w:p>
    <w:p>
      <w:r>
        <w:t>FR: GE_GERICHTE ATAS/422/2019 du 14 mai 2019</w:t>
      </w:r>
    </w:p>
    <w:p>
      <w:r>
        <w:t>IT: GE_GERICHTE ATAS/422/2019 del 14 maggio 2019</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physique/les personnes morales, le for est celui de son domicile/de leur siège (art. 10 al. 1 let. a/b CPC), étant précisé que l’art. 17 al. 1 CPC consacre la possibilité d’une élection de for écrite. En l’occurrence, l’art. 20 des conditions générales pour l’assurance-maladie complémentaire prévoit qu’en « cas de procédure judiciaire, l’assureur reconnaît comme for son siège social, de même que le domicile suisse du preneur d’assurance ou de l’ayant droit ». Le demandeur ayant son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w:t>
      </w:r>
    </w:p>
    <w:p>
      <w:r>
        <w:rPr>
          <w:b/>
        </w:rPr>
        <w:t>E. 5</w:t>
      </w:r>
    </w:p>
    <w:p>
      <w:r>
        <w:t>La demande, qui comporte notamment un exposé des faits et des conclusions, respecte les conditions de forme légales (art. 130 et 244 CPC).</w:t>
      </w:r>
    </w:p>
    <w:p>
      <w:r>
        <w:rPr>
          <w:b/>
        </w:rPr>
        <w:t>E. 6</w:t>
      </w:r>
    </w:p>
    <w:p>
      <w:r>
        <w:t>Le litige porte sur la prise en charge par l’assureur, au titre de son assurance complémentaire Mondia, de la somme de CHF 944.35, non remboursée par l’assurance obligatoire de base, que l’assuré a dû assumer lors de son séjour aux États-Unis en janvier 2018. Or, l’assureur, considérant finalement que l’assuré ne présentait aucun signe d’affection ou de maladie au moment de son départ à</w:t>
      </w:r>
    </w:p>
    <w:p>
      <w:r>
        <w:t>A/979/2019 - 4/7 - l’étranger, a, dans sa réponse du 10 avril 2019, accepté de verser à l’assuré le montant supplémentaire de CHF 944.35. Il convient d’en prendre acte et d’admettre la demande.</w:t>
      </w:r>
    </w:p>
    <w:p>
      <w:r>
        <w:rPr>
          <w:b/>
        </w:rPr>
        <w:t>E. 7</w:t>
      </w:r>
    </w:p>
    <w:p>
      <w:r>
        <w:t>Rappelant que le ch. 4.1.1 ii) des CGA exclut de l’assurance « les affections en cours lors de la signature de la proposition d’assurance », - soit en l’occurrence, le 22 décembre 2016, date à laquelle l’assuré a rempli et signé la proposition d’assurance complémentaire soumise à la LCA, - et dans la mesure où l’assuré souffre d’une prostatite chronique infectieuse depuis 2013, - soit bien avant la signature de la proposition d’assurance complémentaire le 22 décembre 2016 -, l’assureur a également conclu, dans sa réponse du 10 avril 2019, à ce qu’il soit dit que tout traitement en relation avec une prostatite, ses causes et ses conséquences est exclu de la catégorie Mondia.</w:t>
      </w:r>
    </w:p>
    <w:p>
      <w:r>
        <w:rPr>
          <w:b/>
        </w:rPr>
        <w:t>E. 8</w:t>
      </w:r>
    </w:p>
    <w:p>
      <w:r>
        <w:t>a. À teneur de l’art. 224 al. 1 CPC, le défendeur peut déposer une demande reconventionnelle dans la réponse, si la prétention qu’il invoque est soumise à la même procédure que la demande principale. La demande reconventionnelle est une demande indépendante dans le cadre d’un autre procès. Elle n’est ni un moyen d’attaque, ni une défense, mais une demande au même titre que la demande principale, une contre-attaque à l’attaque, par laquelle le défendeur poursuit un but indépendant, en soulevant une prétention indépendante, non comprise dans la demande principale (ATF 123 III 35 c. 3c ; JdT 1997 I 322). L’art. 14 al. 2 CPC prévoit que le for de la demande reconventionnelle subsiste, même si la demande principale est liquidée, pour quelque raison que ce soit. La litispendance de la demande principale ne doit exister qu’au moment de l’introduction de la demande reconventionnelle. Si la demande principale est ultérieurement retirée, ou qu’elle est déclarée irrecevable, la demande reconventionnelle est maintenue (ZPO Komm-ZÜRCHER art. 59 N 82). b. Il s’agit ainsi d’examiner le bien-fondé de cette demande.</w:t>
      </w:r>
    </w:p>
    <w:p>
      <w:r>
        <w:rPr>
          <w:b/>
        </w:rPr>
        <w:t>E. 9</w:t>
      </w:r>
    </w:p>
    <w:p>
      <w:r>
        <w:t>a. Il y a d’emblée lieu de constater que la demande reconventionnelle déposée par l'assuré est une action en constatation. b. Selon la jurisprudence, la recevabilité d'une action en constatation est admise si le demandeur a un intérêt digne de protection à la constatation immédiate de rapports de droit litigieux. Un intérêt de fait suffit, pour autant qu'il s'agisse d'un intérêt actuel et immédiat (ATF 119 V 13 consid. 2a). De manière plus générale, l'intérêt digne de protection requis fait défaut, en règle ordinaire, lorsque la partie peut obtenir en sa faveur un jugement condamnatoire; en ce sens, le droit d'obtenir une décision en constatation est subsidiaire (ATF 119 V 13 consid. 2a et les références citées). Le juge retiendra un intérêt pour agir lorsqu'une incertitude plane sur les relations juridiques des parties et qu'une constatation judiciaire sur l'existence de l'objet du rapport pourrait l'éliminer. Une incertitude quelconque ne</w:t>
      </w:r>
    </w:p>
    <w:p>
      <w:r>
        <w:t>A/979/2019 - 5/7 - suffit cependant pas. Il faut bien plus qu'en se prolongeant, elle empêche le demandeur de prendre ses décisions et qu'elle lui soit, de ce fait, insupportable (ATF 122 III 282 consid. 3a ; 120 II 22 consid. 3). Or, l'objet d'une demande en justice ne peut en principe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et ne peut obtenir en sa faveur un jugement condamnatoire (ATF 132 V 18 consid. 2.2 p. 21 ; ATF 119 V 13 consid. 2a et les références). Des conclusions uniquement constatatoires sont en principe irrecevables, faute d'intérêt digne de protection au recours, lorsque le recourant peut obtenir en sa faveur un jugement condamnatoire ou formateur. Un intérêt de fait suffit, pour autant qu'il s'agisse d'un intérêt actuel et immédiat (ATF 119 V 13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102 consid. 1). De manière plus générale, l'intérêt digne de protection requis fait défaut, en règle ordinaire, lorsque la partie peut obtenir en sa faveur un jugement condamnatoire (ou en exécution, Leistungsklage) ou une action formatrice (ou en modification de droit, Gestaltungsklage), qui lui permettrait d'obtenir directement le respect de son droit ou l'exécution de son obligation, ne soit pas ouverte (ATF 135 III 378 consid. 2.2 ; arrêt du Tribunal fédéral 4A_688/2016 du 5 avril 2017 consid. 3.1) ; en ce sens, le droit d'obtenir une décision en constatation est subsidiaire (ATF 135 I 119 consid. 4 p. 122; 132 V 18 consid. 2.1 p. 19; 129 V 289 consid. 2.1 p. 290; 125 V 21 consid. 1b p. 24; ATF 130 V 391 consid. 2.4 ; ATF 129 V 290 consid. 2.1 ; ATF 119 V 13 consid. 2a et les références citées). Sont réservées les dispositions spéciales prévoyant une action en constatation de droit particulière.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(arrêt du Tribunal fédéral 4A_688/2016 du 5 avril 2017 consid. 3.1). Le juge retiendra un intérêt pour agir lorsqu'une incertitude plane sur les relations juridiques des parties et qu'une constatation judiciaire sur l'existence de l'objet du rapport pourrait l'éliminer. Une incertitude quelconque ne suffit cependant pas. Il faut bien plutôt qu'en se prolongeant, elle empêche le demandeur de prendre ses décisions et qu'elle lui soit, de ce fait, insupportable (ATF 122 III 282 consid. 3a, 120 II 22 consid. 3). L’action en constatation n’est pas toujours exclue, même si la partie dispose d’une action condamnatoire. Il peut en effet exister un intérêt propre à la constatation judiciaire. Tel est notamment le cas lorsqu’il est question non seulement d’obtenir</w:t>
      </w:r>
    </w:p>
    <w:p>
      <w:r>
        <w:t>A/979/2019 - 6/7 - la prestation exigible, mais de constater la validité du rapport juridique qui la fonde également en vue de son évolution future (Johann ZÜRCHER in Kommentar zur Schweizerischen Zivilprozessordnung, n° 13 ad art. 59 CPC ; arrêts du Tribunal fédéral 4A_589/2011 du 5 avril 2012 consid. 4.1 et 4A_551/2008 du 12 mai 2009 consid. 3.1). c. Dans le cas particulier, l’assureur a conclu à ce qu’il soit constaté que tout traitement en relation avec une prostatite, ses causes et ses conséquences était exclu de la catégorie Mondia. Force est de constater qu’il ne peut cependant se prévaloir d’aucun intérêt actuel ou immédiat, dans la mesure où cette question n’est ici pas litigieuse. Elle ne devra être tranchée, le cas échéant, que lorsque l’assuré demandera le remboursement des frais relatifs à un tel traitement. L’assureur n’a incontestablement pas d’intérêt digne de protection à faire constater, dans le cadre du présent litige, que tout traitement en relation avec une prostatite, ses causes et ses conséquences est exclu de la catégorie Mondia. Aussi sa demande reconventionnelle est-elle irrecevable.</w:t>
      </w:r>
    </w:p>
    <w:p>
      <w:r>
        <w:rPr>
          <w:b/>
        </w:rPr>
        <w:t>E. 10</w:t>
      </w:r>
    </w:p>
    <w:p>
      <w:r>
        <w:t>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w:t>
      </w:r>
    </w:p>
    <w:p>
      <w:r>
        <w:rPr>
          <w:b/>
        </w:rPr>
        <w:t>E. 11</w:t>
      </w:r>
    </w:p>
    <w:p>
      <w:r>
        <w:t>octobre 2012 [LaCC - E 1 05]; art. 84 et 85 du RTFMC). Pour le surplus, la procédure est gratuite (art. 114 let. e CPC).</w:t>
      </w:r>
    </w:p>
    <w:p>
      <w:r>
        <w:t>A/979/2019 - 7/7 -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