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ATAS/422/2015 vom 15. Juni 2015</w:t>
      </w:r>
    </w:p>
    <w:p>
      <w:r>
        <w:t>GE Cour de justice, 2015-06-15, FR</w:t>
      </w:r>
    </w:p>
    <w:p>
      <w:r>
        <w:rPr>
          <w:b/>
        </w:rPr>
        <w:t xml:space="preserve">Quelle: </w:t>
      </w:r>
      <w:r>
        <w:t>https://mcp.opencaselaw.ch/entscheid/ge_gerichte_ATAS_422_2015</w:t>
      </w:r>
    </w:p>
    <w:p>
      <w:r>
        <w:t>FR: GE_GERICHTE ATAS/422/2015 du 15 juin 2015</w:t>
      </w:r>
    </w:p>
    <w:p>
      <w:r>
        <w:t>IT: GE_GERICHTE ATAS/422/2015 del 15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le délai prévus par la loi, est recevable (art. 56 et ss LPGA).</w:t>
      </w:r>
    </w:p>
    <w:p>
      <w:r>
        <w:rPr>
          <w:b/>
        </w:rPr>
        <w:t>E. 3</w:t>
      </w:r>
    </w:p>
    <w:p>
      <w:r>
        <w:t>a. A titre préalable, la recourante fait valoir une violation de son droit d'être entendue, dès lors que l'intimé a rendu sa décision litigieuse sans que la recourante ait pu faire part de ses observations relatives au rapport d'expertise du Dr J______. Pour ce motif, elle conclut à l'annulation de la décision litigieuse.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w:t>
      </w:r>
    </w:p>
    <w:p>
      <w:r>
        <w:t>A/3312/2014 - 9/10 - sur le litige, ce qui n'est dans l'intérêt ni de l'intimée, ni de l'administré dont le droit d'être entendu a été lésé (ATF 132 V 387 consid. 5.1). d. En l'espèce, la recourante fait valoir que son droit d'être entendue a été violé dans la mesure où l'intimé a refusé de prolonger le délai arrivant à échéance le 29 septembre 2014, alors qu'elle n'avait pu prendre connaissance du rapport du Dr J______ que le 23 septembre 2014. e. La chambre de céans constate que la recourante bénéficiait toutefois encore de six jours pour se déterminer sur le rapport du Dr J______ (long de seize pages), ce qui était amplement suffisant pour faire valoir ses observations dans le délai imparti par l'intimé, de sorte que l'on ne saurait admettre une violation du droit d'être entendu. Quoi qu'il en soit, même si une telle violation devait être retenue, force est de constater que celle-ci a été réparée dans le cadre de la présente procédure, puisque la recourante a pu se déterminer sur le rapport du Dr J______ dans ses écritures.</w:t>
      </w:r>
    </w:p>
    <w:p>
      <w:r>
        <w:rPr>
          <w:b/>
        </w:rPr>
        <w:t>E. 4</w:t>
      </w:r>
    </w:p>
    <w:p>
      <w:r>
        <w:t>Par conséquent, le grief de la violation du droit d’être entendu doit être écarté.</w:t>
      </w:r>
    </w:p>
    <w:p>
      <w:r>
        <w:rPr>
          <w:b/>
        </w:rPr>
        <w:t>E. 5</w:t>
      </w:r>
    </w:p>
    <w:p>
      <w:r>
        <w:t>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b. En l’espèce, l'intimé a retenu, en se fondant sur l'expertise du Dr H______, que la recourante ne présente plus d'incapacité de travail en raison de son atteinte à son bras et son épaule gauches depuis mi-septembre 2013 (avis du SMR du 11 juin 2014). c. Dans la cause opposant la recourante à l'assureur-accidents (A/1991/2014), la chambre de céans a, par ordonnance du 21 mai 2015, constaté que plusieurs éléments versés au dossier faisaient douter des conclusions du Dr H______ et qu'une expertise rhumatologique et orthopédique devait être mise en œuvre auprès des Drs P______ et Q______ (ATAS/372/2015).</w:t>
      </w:r>
    </w:p>
    <w:p>
      <w:r>
        <w:rPr>
          <w:b/>
        </w:rPr>
        <w:t>E. 6</w:t>
      </w:r>
    </w:p>
    <w:p>
      <w:r>
        <w:t>Par conséquent, il se justifie de suspendre la présente cause jusqu'à réception du rapport d'expertise des Drs P______ et Q______.</w:t>
      </w:r>
    </w:p>
    <w:p>
      <w:r>
        <w:t>A/3312/2014 - 10/10 -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