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ATAS/421/2021 vom 4. Mai 2021</w:t>
      </w:r>
    </w:p>
    <w:p>
      <w:r>
        <w:t>GE Cour de justice, 2021-05-04, FR</w:t>
      </w:r>
    </w:p>
    <w:p>
      <w:r>
        <w:rPr>
          <w:b/>
        </w:rPr>
        <w:t xml:space="preserve">Quelle: </w:t>
      </w:r>
      <w:r>
        <w:t>https://mcp.opencaselaw.ch/entscheid/ge_gerichte_ATAS_421_2021</w:t>
      </w:r>
    </w:p>
    <w:p>
      <w:r>
        <w:t>FR: GE_GERICHTE ATAS/421/2021 du 4 mai 2021</w:t>
      </w:r>
    </w:p>
    <w:p>
      <w:r>
        <w:t>IT: GE_GERICHTE ATAS/421/2021 del 4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Toutefois, dans la mesure où le présent recours était pendant devant la chambre de céans à cette date, il reste soumis à l'ancien droit, conformément à l’art. 83 LPGA.</w:t>
      </w:r>
    </w:p>
    <w:p>
      <w:r>
        <w:rPr>
          <w:b/>
        </w:rPr>
        <w:t>E. 3</w:t>
      </w:r>
    </w:p>
    <w:p>
      <w:r>
        <w:t>Le recours, déposé dans les forme et délai prévus par la loi, est recevable (art. 56ss LPGA).</w:t>
      </w:r>
    </w:p>
    <w:p>
      <w:r>
        <w:rPr>
          <w:b/>
        </w:rPr>
        <w:t>E. 4</w:t>
      </w:r>
    </w:p>
    <w:p>
      <w:r>
        <w:t>Le litige, tel que circonscrit par les conclusions du litige, porte sur le droit de la recourante à une rente d’invalidité.</w:t>
      </w:r>
    </w:p>
    <w:p>
      <w:r>
        <w:rPr>
          <w:b/>
        </w:rPr>
        <w:t>E. 5</w:t>
      </w:r>
    </w:p>
    <w:p>
      <w:r>
        <w:t>Il convient en premier lieu d'examiner le grief de la recourante ayant trait à la violation de son droit d'être entendue. La jurisprudence a déduit du droit d'être entendu (art. 29 al. 2 de la Constitution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w:t>
      </w:r>
    </w:p>
    <w:p>
      <w:r>
        <w:t>A/1894/2020 - 7/12 -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En l'espèce, si la motivation de la décision litigieuse est succincte, on comprend néanmoins qu'elle se fonde sur le rapport du Dr B______ du 17 janvier 2020 tel que l'intimé l'a compris. Il n'y a ainsi pas de violation du droit d'être entendu, qui serait en toute hypothèse réparée eu égard à la pleine cognition de la chambre de céans.</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7</w:t>
      </w:r>
    </w:p>
    <w:p>
      <w:r>
        <w:t>a. La loi prévoit différentes méthodes pour évaluer l'invalidité d'un assuré en fonction du statut de ce dernier.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b.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w:t>
      </w:r>
    </w:p>
    <w:p>
      <w:r>
        <w:t>A/1894/2020 - 8/12 -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c.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convient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d. La comparaison des revenus est inutile lorsque l'activité adaptée correspond à la profession exercée avant l'atteinte à la santé. Dans un tel cas, le degré d'invalidité est établi au moyen de la comparaison en pourcent. Le revenu hypothétique sans invalidité est évalué à 100 %, tandis que le revenu d'invalide est estimé à un pourcentage moindre. Le degré d'invalidité découle alors de la différence de pourcentage (Christoph FREY / Nathalie LANG, Basler Kommentar, Allgemeiner Teil des Sozialversicherungsrechts, 2020, n. 17 ad art. 16 ATSG et les références).</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w:t>
      </w:r>
    </w:p>
    <w:p>
      <w:r>
        <w:t>A/1894/2020 - 9/12 -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A/1894/2020 - 10/12 - pour remettre en cause les conclusions de l'expert (arrêt du Tribunal fédéral 9C_405/2008 du 29 septembre 2008 consid. 3.2).</w:t>
      </w:r>
    </w:p>
    <w:p>
      <w:r>
        <w:rPr>
          <w:b/>
        </w:rPr>
        <w:t>E. 9</w:t>
      </w:r>
    </w:p>
    <w:p>
      <w:r>
        <w:t>En l’espèce, il convient en préambule de confirmer que c’est à juste titre que l’intimé a reconnu un statut d’active à la recourante. En effet, comme cela ressort de ses déclarations à l'expert, c’est en raison de difficultés liées au marché du travail que celle-ci n’a pas exercé d’emploi à plein temps avant son accident, et non par choix. En ce qui concerne la capacité de travail de la recourante, le Prof C______ a confirmé dans son complément d’expertise du 24 octobre 2019 que si l’activité habituelle de comptable restait la mieux adaptée à l’atteinte à la santé, elle n’était alors plus exigible qu’à un taux de 60 %, eu égard aux douleurs persistantes et à la nécessité d’alterner les positions. Tant l’expertise initiale du Prof C______ de mai 2019 que le complément établi par ses soins en octobre 2019 satisfont aux critères jurisprudentiels en matière de rapports médicaux rappelés ci-dessus. Ce spécialiste a en effet fondé ses conclusions sur une analyse du dossier de la recourante, complétée par une anamnèse précise. Il a posé ses diagnostics à l’issue d’un examen clinique détaillé, a tenu compte des plaintes de la recourante et a motivé ses conclusions. Ses deux rapports doivent donc se voir reconnaître une pleine valeur probante. Il n’existe du reste aucun avis médical contradictoire qui susciterait des doutes quant aux conclusions de cet expert. En effet, si les indications du Dr B______ dans son rapport du 17 janvier 2020 contenaient une certaine ambiguïté, et pouvaient être interprétées en ce sens que la recourante serait désormais capable de travailler à 100 % en tant que comptable, ce spécialiste a précisé dans son courrier à la chambre de céans du 16 février 2021 que la mention « 100 % dans son ancienne profession » devait être comprise en ce sens que la recourante pouvait reprendre son activité au taux exercé avant l'accident, soit 60 %, et qu’il se ralliait à l’avis du Prof C______ sur ce point. L’intimé ne produit quant à lui aucun nouvel avis médical s'écartant des conclusions du Prof C______ et du Dr B______. La chambre de céans retiendra dès lors que la recourante était en mesure de reprendre son activité de comptable à un taux de 60 % dès septembre 2019, conformément à l'appréciation de sa capacité de travail par le Prof C______ et de la date fixée par le Dr B______. Son degré d’invalidité doit ainsi être déterminé selon la méthode de comparaison en pourcent, dès lors que l'activité habituelle reste exigible à un taux moindre. Le degré d'invalidité correspond ainsi à la différence dans la capacité de travail dans l'activité de comptable avant et après l'atteinte à la santé, soit 40 %. La recourante a ainsi droit à un quart de rente, correspondant à un taux d’invalidité de 40 % dès le 1er septembre 2019, date retenue par le Dr B______, soit six mois</w:t>
      </w:r>
    </w:p>
    <w:p>
      <w:r>
        <w:t>A/1894/2020 - 11/12 - après le dépôt de sa demande de prestations du 14 mars 2019, conformément à l’art. 29 al. 1 LAI. S'agissant des nouveaux éléments médicaux transmis à la chambre de céans par l'intimé, et en particulier du dernier rapport du Prof C______, semblant conclure à une amélioration de la capacité de travail qui pourrait avoir une incidence sur le degré d'invalidité de la recourante, la chambre de céans rappelle que la décision fixe la limite temporelle de l'état de fait déterminant. Selon la jurisprudence, le juge appelé à connaître de la légalité d'une décision rendue par les organes de l'assurance sociale doit apprécier l'état de fait déterminant existant au moment où la décision litigieuse a été rendue (arrêt du Tribunal fédéral 9C_777/2013 du 13 février 2014 consid. 5.2.2.). Cette éventuelle amélioration, postérieure à la décision litigieuse, ne doit ainsi pas être prise en considération dans la présente procédure, mais pourra cas échéant donner lieu à une révision du droit aux prestations (art. 17 LPGA).</w:t>
      </w:r>
    </w:p>
    <w:p>
      <w:r>
        <w:rPr>
          <w:b/>
        </w:rPr>
        <w:t>E. 10</w:t>
      </w:r>
    </w:p>
    <w:p>
      <w:r>
        <w:t>Le recours est admis. La recourante a droit à des dépens, qui seront fixés à CHF 1'500.- (art. 61 let. g LPGA). La procédure en matière d’assurance-invalidité n’étant pas gratuite, l’intimé supporte l’émolument de procédure de CHF 200.- (art. 69 al. 1bis LAI). * * * * * *</w:t>
      </w:r>
    </w:p>
    <w:p>
      <w:r>
        <w:t>A/1894/2020 - 12/12 -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