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ATAS/421/2009 vom 8. April 2009</w:t>
      </w:r>
    </w:p>
    <w:p>
      <w:r>
        <w:t>GE Cour de justice, 2009-04-08, FR</w:t>
      </w:r>
    </w:p>
    <w:p>
      <w:r>
        <w:rPr>
          <w:b/>
        </w:rPr>
        <w:t xml:space="preserve">Quelle: </w:t>
      </w:r>
      <w:r>
        <w:t>https://mcp.opencaselaw.ch/entscheid/ge_gerichte_ATAS_421_2009</w:t>
      </w:r>
    </w:p>
    <w:p>
      <w:r>
        <w:t>FR: GE_GERICHTE ATAS/421/2009 du 8 avril 2009</w:t>
      </w:r>
    </w:p>
    <w:p>
      <w:r>
        <w:t>IT: GE_GERICHTE ATAS/421/2009 del 8 aprile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entrée en vigueur le 1er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particulier, les dispositions de la novelle du 21 mars 2003 modifiant la LAI (4e révision), entrées en vigueur le 1er janvier 2004 (RO 2003 3852), et celles de la novelle du 6 octobre 2006 (5e révision), entrées en vigueur le 1er janvier 2008, sont régies par ce principe. D’autre part, le juge des assurances sociales se doit, en règle générale, d’apprécier la légalité des décisions attaquées d’après l’état de fait existant au moment où la décision litigieuse a été rendue (ATF 121 V 366 consid. 1b et les références citées). En l’espèce, les faits déterminants s’étant réalisés en partie avant et en partie après l’entrée en vigueur de la novelle du 6 octobre 2006, le droit aux prestations doit être examiné au regard de l’ancien droit pour ce qui concerne les faits survenus avant le 31 décembre 2007 et au regard de la nouvelle réglementation légale pour les faits survenus après cette date, ce qui demeure sans importance dans le cas présent, vu que les normes ad hoc n’ont pas fait l’objet d’une modification.</w:t>
      </w:r>
    </w:p>
    <w:p>
      <w:r>
        <w:rPr>
          <w:b/>
        </w:rPr>
        <w:t>E. 3</w:t>
      </w:r>
    </w:p>
    <w:p>
      <w:r>
        <w:t>Interjeté en la forme et le délai prescrits, le recours est recevable (art. 56 et 60 LPGA).</w:t>
      </w:r>
    </w:p>
    <w:p>
      <w:r>
        <w:rPr>
          <w:b/>
        </w:rPr>
        <w:t>E. 4</w:t>
      </w:r>
    </w:p>
    <w:p>
      <w:r>
        <w:t>Le litige consiste à déterminer si, et le cas échéant, depuis quand la recourante présente une atteinte à la santé ouvrant droit à des prestations de l'assurance 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w:t>
      </w:r>
    </w:p>
    <w:p>
      <w:r>
        <w:t>A/2872/2008 - 7/12 -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Selon l’art. 28 al. 1er LAI dans sa teneur en vigueur du 1er janvier 2004 au 31 décembre 2007 (art. 28 al. 2 dès le 1er janvier 2008), l’assuré a droit à une rente entière s’il est invalide à 70% au moins, à trois quarts de rente s’il est invalide à 60% au moins, à une demi-rente s’il est invalide à 50% au moins ou à un quart de rente s’il est invalide à 40% au moins. Selon l’art. 4 al. 2 LAI, l’invalidité est réputée survenue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1er LAI dans sa version en vigueur jusqu'au 31 décembre 2007, soit dès que l’assuré présente une incapacité de gain durable de 40% au moins ou dès qu’il a présenté, en moyenne, une incapacité de travail de 40% au moins pendant une année sans interruption notable, mais au plus tôt le premier jour du mois qui suit le dix-huitième anniversaire de l’assuré (art. 29 al. 2 aLAI ; ATF 126 V 5 consid. 2b et les références). Selon l’art. 29 al. 1 LAI, en sa teneur en vigueur dès le 1er janvier 2008 (5ème révision 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w:t>
      </w:r>
    </w:p>
    <w:p>
      <w:r>
        <w:rPr>
          <w:b/>
        </w:rPr>
        <w:t>E. 6</w:t>
      </w:r>
    </w:p>
    <w:p>
      <w:r>
        <w:t>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w:t>
      </w:r>
    </w:p>
    <w:p>
      <w:r>
        <w:t>A/2872/2008 - 8/12 -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D’autre part,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w:t>
      </w:r>
    </w:p>
    <w:p>
      <w:r>
        <w:t>A/2872/2008 - 9/12 - différents types de traitements), cela en dépit de l’attitude coopérative de la personne assurée (ATF 130 V 352). Plus ces critères se manifestent et imprègnent les constatations médicales, moins on admettra l’exigibilité d’un effort de volonté.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 Parmi les atteintes à la santé psychique, qui peuvent, comme les atteintes physiques, provoquer une invalidité au sens de l’art. 4 al. 1er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294 consid. 4c in fine).</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t>A/2872/2008 - 10/12 -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352 ss consid. 3).</w:t>
      </w:r>
    </w:p>
    <w:p>
      <w:r>
        <w:rPr>
          <w:b/>
        </w:rPr>
        <w:t>E. 8</w:t>
      </w:r>
    </w:p>
    <w:p>
      <w:r>
        <w:t>En l'espèce, il résulte du dossier que la recourante a cessé son activité lucrative le 28 avril 2006 pour des raisons personnelles, selon l'employeur. La recourante indique pour sa part qu'elle a dû arrêter son activité de nettoyeuse pour raison de santé et qu'elle s'est inscrite au chômage le 1er mai 2006. Au dossier figure une attestation du Dr A_______, médecin traitant, du 5 avril 2006, aux termes de laquelle la recourante est suivie en consultation à son cabinet et qu'en raison de problèmes importants de la colonne vertébrale, il lui a vivement déconseillé l'activité de nettoyeuse. Le médecin traitant a attesté d'une incapacité de travail de 100 % depuis le 1er mars 2007 dans l'activité de nettoyeuse et indiqué que les autres activités exigibles devaient être déterminées après une expertise. Le Dr B______ a également indiqué dans son rapport du 25 juillet 2007 que l'activité de nettoyeuse n'était plus possible ; s'agissant de la capacité de travail, il renvoyait à l'appréciation du médecin traitant. L'expertise rhumatologique conduite par le Dr C______ a conclu à une capacité de travail de 80 % dans l'activité de nettoyeuse et de 100 % dans une activité adaptée. L'expert a retenu les diagnostics de syndrome poly-insertionnel douloureux récurrent, avec diminution du seuil de la douleur, et lombalgies chroniques. Il mentionne par ailleurs un probable syndrome anxio-dépressif sous-jacent modéré. Il proposait que l'assurée bénéficie à nouveau d'une médication anti-dépressive dans le but de rehausser le seuil de tolérance à la douleur et un soutien psychothérapeutique paraissait souhaitable.</w:t>
      </w:r>
    </w:p>
    <w:p>
      <w:r>
        <w:t>A/2872/2008 - 11/12 - Sur le plan psychiatrique, la Dresse D______ a indiqué que la patiente était venue consulter le 3 décembre 2007. Elle a diagnostiqué un épisode dépressif sévère résistant au traitement de Cymbalta introduit par le généraliste. La recourante subissait des facteurs de stress importants et a été victime, en février 2008, d'une rupture d'anévrisme. Selon la psychiatre, l'incapacité de travail était de 100 % depuis le 1er décembre 2007. Les neurochirurgiens ont pour leur part attesté que la patiente avait été hospitalisée le 8 février 2008 pour une rupture d'anévrisme et qu'elle était en incapacité de travail totale depuis cette date. L’aggravation de l’état de santé de la recourante depuis cette date ne fait aucun doute, comme l’admet l’intimé. Pour la période antérieure, du point de vue rhumatologique, l’on ne saurait se référer sans autre aux conclusions de l'expertise, selon laquelle la recourante présente une capacité de travail totale dans une activité adaptée et de 80 % dans l'activité de nettoyeuse. En effet, en présence du diagnostic de syndrome douloureux chronique, l’avis d’un psychiatre est exigé afin de déterminer s’il existe une comorbidité psychiatrique permettant d’admettre le caractère invalidant dudit trouble ou si l’affection psychiatrique est indépendante du trouble somatoforme douloureux et détermine, en elle-même, une incapacité de travail. Or, alors que l’expert rhumatologue évoquait un état anxio-dépressif sous-jacent modéré, la psychiatre a diagnostiqué, lors de la consultation du 3 décembre 2007, un épisode dépressif sévère résistant au traitement donné par le médecin généraliste, entraînant une incapacité de travail totale depuis le 1er décembre 2007 déjà. L’on ne comprend pas comment l’intimé a purement et simplement écarté cet avis, émanant pourtant d’une spécialiste en psychiatrie. Ce point doit être investigué, dès lors qu’il n’est pas exclu que la recourante présentait déjà avant la consultation du 3 décembre 2007 un épisode dépressif sévère entraînant des répercussions sur sa capacité de travail. Au vu de ce qui précède, le Tribunal de céans ne saurait se rallier à l’avis de l’intimé selon lequel l’aggravation de l’état de santé date de février 2008 seulement, raison pour laquelle le recours sera partiellement admis et la décision de l’intimé annulée. Il appartiendra à l’intimé d’effectuer dans les plus brefs délais une instruction complémentaire et de rendre une nouvelle décision.</w:t>
      </w:r>
    </w:p>
    <w:p>
      <w:r>
        <w:rPr>
          <w:b/>
        </w:rPr>
        <w:t>E. 9</w:t>
      </w:r>
    </w:p>
    <w:p>
      <w:r>
        <w:t>L’émolument de 500 fr, est mis à charge de l’intimé (art. 69al. 1bis LAI).</w:t>
      </w:r>
    </w:p>
    <w:p>
      <w:r>
        <w:t>A/2872/2008 - 12/12 -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