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ATAS/420/2025 vom 3. Juni 2025</w:t>
      </w:r>
    </w:p>
    <w:p>
      <w:r>
        <w:t>GE Cour de justice, 2025-06-03, FR</w:t>
      </w:r>
    </w:p>
    <w:p>
      <w:r>
        <w:rPr>
          <w:b/>
        </w:rPr>
        <w:t xml:space="preserve">Quelle: </w:t>
      </w:r>
      <w:r>
        <w:t>https://mcp.opencaselaw.ch/entscheid/ge_gerichte_ATAS_420_2025</w:t>
      </w:r>
    </w:p>
    <w:p>
      <w:r>
        <w:t>FR: GE_GERICHTE ATAS/420/2025 du 3 juin 2025</w:t>
      </w:r>
    </w:p>
    <w:p>
      <w:r>
        <w:t>IT: GE_GERICHTE ATAS/420/2025 del 3 giugno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en temps utile, le recours est prima facie recevable (art. 60 al. 1 LPGA).</w:t>
      </w:r>
    </w:p>
    <w:p>
      <w:r>
        <w:rPr>
          <w:b/>
        </w:rPr>
        <w:t>E. 2.1</w:t>
      </w:r>
    </w:p>
    <w:p>
      <w:r>
        <w:t>Selon l'art. 54 al. 1 let. c LPGA, les décisions et les décisions sur opposition sont exécutoires lorsque l'effet suspensif attribué à une opposition ou à un recours a été retiré. Depuis le 1er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w:t>
      </w:r>
    </w:p>
    <w:p>
      <w:r>
        <w:rPr>
          <w:b/>
        </w:rPr>
        <w:t>E. 2.2</w:t>
      </w:r>
    </w:p>
    <w:p>
      <w:r>
        <w:t>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w:t>
      </w:r>
    </w:p>
    <w:p>
      <w:r>
        <w:rPr>
          <w:b/>
        </w:rPr>
        <w:t>E. 2.3</w:t>
      </w:r>
    </w:p>
    <w:p>
      <w:r>
        <w:t>L'art. 55 al. 3 PA prévoit que l'autorité de recours ou son président peut restituer l'effet suspensif à un recours auquel l'autorité inférieure l'avait retiré ; la demande de restitution de l'effet suspensif est traitée sans délai.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w:t>
      </w:r>
    </w:p>
    <w:p>
      <w:r>
        <w:t>- 6/8 -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w:t>
      </w:r>
    </w:p>
    <w:p>
      <w:r>
        <w:rPr>
          <w:b/>
        </w:rPr>
        <w:t>E. 2.4</w:t>
      </w:r>
    </w:p>
    <w:p>
      <w:r>
        <w:t>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 voir également arrêt du Tribunal fédéral des assurances I 267/98 du 22 octobre 1998, in VSI 2000 p. 184 consid. 5; Hansjörg SEILER, in Praxiskommentar zum VwVG, n° 103 ad art. 55 PA).</w:t>
      </w:r>
    </w:p>
    <w:p>
      <w:r>
        <w:rPr>
          <w:b/>
        </w:rPr>
        <w:t>E. 3</w:t>
      </w:r>
    </w:p>
    <w:p>
      <w:r>
        <w:t>En l’espèce, la demande de restitution de l’effet suspensif constitue en réalité une demande de mesures provisionnelles. Il n’est en l’état actuel pas possible d'admettre que, selon toute vraisemblance, l’intéressé obtiendra gain de cause sur le fond, en particulier pour les motifs qui suivent. Quant au fond, est principalement litigieuse la question de savoir si et quand le statu quo a été atteint – justifiant ainsi qu’il soit mis un terme au versement des indemnités journalières. À été versée au dossier l’expertise du Dr D______, qui, prima facie, remplit tous les réquisits pour se voir reconnaître pleine valeur probante. L’expert conclut que l’évènement de novembre 2018 a révélé des troubles dégénératifs majeurs de l’épaule droite, liés à une surcharge des deux membres supérieurs, dans le cadre d’une activité professionnelle exigeante à ce niveau. De l’échographie effectuée alors, l’expert estime qu’elle démontre que l’évènement n’a pas aggravé de manière déterminante les lésions préexistantes. Quant à l’évènement de mai 2022, il a décompensé de manière passagère l’état antérieur. Lui aussi a révélé un problèmes dégénératif majeur. L’expert en veut pour preuve le fait que l’épaule gauche, non concernée par les deux évènements, montre des lésions dégénératives similaires.</w:t>
      </w:r>
    </w:p>
    <w:p>
      <w:r>
        <w:t>- 7/8 - L’expert, expliquant qu’une contusion à l’épaule se guérit normalement entre quatre et six semaines, a admis que, sur un état préexistant, cela peut prendre entre trois et six mois. En définitive, il a considéré que le statu quo avait été atteint le 18 novembre 2022, date de la consultation chez le Dr E______. Le fait que les médecins traitants de l’assuré aient prolongé les arrêts de travail de l’assuré ne suffit pas encore à s’écarter des conclusions de l’expertise. On rappellera qu’en l’occurrence, la problématique doit être appréhendée essentiellement d’un point de vue médical. Le simple fait de substituer les considérations personnelles du recourant et son opinion quant à la préexistance ou non d’atteintes dégénératives aux conclusions de l’expert ne saurait suffire pour écarter ces dernières. Dès lors que les chances de succès du recourant sur le fond ne paraissent pas évidentes prima facie et sans préjudice de l’examen au fond, l’intérêt de l’intimée au non-octroi de l’effet suspensif ou de toute autre mesure provisionnelle l’emporte sur celui du recourant à obtenir le versement de prestations. En effet, l’issue de la procédure étant incertaine, il existe un risque important qu’il ne puisse rembourser les prestations qui lui seraient versées à tort par l’intimée pendant la procédure.</w:t>
      </w:r>
    </w:p>
    <w:p>
      <w:r>
        <w:rPr>
          <w:b/>
        </w:rPr>
        <w:t>E. 4</w:t>
      </w:r>
    </w:p>
    <w:p>
      <w:r>
        <w:t>Partant, la demande de restitution de l’effet suspensif est rejetée et la suite de la procédure réservée.</w:t>
      </w:r>
    </w:p>
    <w:p>
      <w:r>
        <w:t>***</w:t>
      </w:r>
    </w:p>
    <w:p>
      <w:r>
        <w:t>- 8/8 -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