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ATAS/420/2019 vom 14. Mai 2019</w:t>
      </w:r>
    </w:p>
    <w:p>
      <w:r>
        <w:t>GE Cour de justice, 2019-05-14, FR</w:t>
      </w:r>
    </w:p>
    <w:p>
      <w:r>
        <w:rPr>
          <w:b/>
        </w:rPr>
        <w:t xml:space="preserve">Quelle: </w:t>
      </w:r>
      <w:r>
        <w:t>https://mcp.opencaselaw.ch/entscheid/ge_gerichte_ATAS_420_2019</w:t>
      </w:r>
    </w:p>
    <w:p>
      <w:r>
        <w:t>FR: GE_GERICHTE ATAS/420/2019 du 14 mai 2019</w:t>
      </w:r>
    </w:p>
    <w:p>
      <w:r>
        <w:t>IT: GE_GERICHTE ATAS/420/2019 del 14 maggio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t>A/3792/2018 - 4/11 -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1er janvier 2017 est entrée en vigueur la modification du 25 septembre 2015 de la LAA. Dans la mesure où l'accident est survenu avant cette date, le droit de l’intéressé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SUVA de réclamer à l’intéressé la restitution de la somme de CHF 39'353.75, représentant les indemnités journalières calculées sur la base d’un salaire déclaré erroné.</w:t>
      </w:r>
    </w:p>
    <w:p>
      <w:r>
        <w:rPr>
          <w:b/>
        </w:rPr>
        <w:t>E. 5</w:t>
      </w:r>
    </w:p>
    <w:p>
      <w:r>
        <w:t>Selon l’art. 25 al. 1, 1ère phrase LPGA, les prestations indûment touchées doivent être restituées.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(ATF 129 V 110 consid. 1.1; ATF 126 V 23 consid. 4b ;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w:t>
      </w:r>
    </w:p>
    <w:p>
      <w:r>
        <w:t>A/3792/2018 - 5/11 -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w:t>
      </w:r>
    </w:p>
    <w:p>
      <w:r>
        <w:rPr>
          <w:b/>
        </w:rPr>
        <w:t>E. 6</w:t>
      </w:r>
    </w:p>
    <w:p>
      <w:r>
        <w:t>janvier 2016 consid. 3.1).</w:t>
      </w:r>
    </w:p>
    <w:p>
      <w:r>
        <w:rPr>
          <w:b/>
        </w:rPr>
        <w:t>E. 7</w:t>
      </w:r>
    </w:p>
    <w:p>
      <w:r>
        <w:t>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Dans le contexte de la suppression du droit à des prestations, la règle selon laquelle le fardeau de la preuve appartient à la partie qui invoque la suppression du droit</w:t>
      </w:r>
    </w:p>
    <w:p>
      <w:r>
        <w:t>A/3792/2018 - 6/11 -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a. En présence d’une demande de restitution, se pose, à titre préalable, la question du respect du délai d’un an dans lequel la SUVA doit notifier sa décision. L’intéressé s’étonne à cet égard qu’elle lui ait été notifiée presque trois ans après son accident. b. Selon l'art. 25 al. 2 LPGA, le droit de demander la restitution s'éteint un an après le moment où l'institution a eu connaissance du fait qui justifie la restitution. Selon la jurisprudence, le délai de péremption d’une année commence à courir dès le moment où l’assurance sociale aurait dû s'apercevoir, en faisant preuve de l'attention raisonnablement exigible, que les conditions d'une restitution étaient données. Lorsque la restitution est imputable à une faute de l’administration, le point de départ du délai n'est pas le moment où la faute a été commise mais celui</w:t>
      </w:r>
    </w:p>
    <w:p>
      <w:r>
        <w:t>A/3792/2018 - 7/11 - auquel l'administration aurait dû dans un deuxième temps (par exemple à l'occasion d'un contrôle) se rendre compte de son erreur en faisant preuve de l'attention requise (ATF 124 V 380 consid. 1). Le délai de péremption d'une année commence à courir dans tous les cas aussitôt qu'il s'avère que les prestations en question étaient indues (arrêt K 70/06 du 30 juillet 2007 consid. 5.1).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(SVR 2008 KV n° 4 p. 11 ; arrêt du Tribunal fédéral 9C_632/2012 du 10 janvier 2013 consid. 4.2 ; Ueli KIESER, ATSG-Kommentar, 3ème éd., 2015, n. 54 ss ad art. 25).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des assurances C 271/04 du 21 mars 2006 consid. 2.5). c. En l'espèce, ce n'est qu’à réception du rapport de révision du 28 mai 2018 que la SUVA a disposé de tous les éléments utiles. Le délai de péremption d'un an commençant à courir seulement lorsque la SUVA a en mains l'ensemble des éléments permettant de réclamer la restitution des prestations indûment perçues, y compris quant au montant dû, ce qui implique de vérifier, après avoir découvert des avoirs dont il ne connaissait pas l'existence, les autres éléments de calcul des prestations, il s'ensuit que c'est dans le délai de péremption d'une année dès la connaissance de toutes les informations utiles que la SUVA a demandé la restitution des prestations versées à tort. d. L’art. 25 al. 2 LPGA prévoit que le droit de demander la restitution s’éteint au plus tard cinq ans après le versement de la prestation. La restitution portant in casu sur la période allant de septembre 2015 à mars 2017, la SUVA a agi dans le délai de cinq ans également.</w:t>
      </w:r>
    </w:p>
    <w:p>
      <w:r>
        <w:rPr>
          <w:b/>
        </w:rPr>
        <w:t>E. 11</w:t>
      </w:r>
    </w:p>
    <w:p>
      <w:r>
        <w:t>a. L’intéressé considère que le décompte annexé à la décision ne l’aide pas à comprendre pour quelle raison il devrait rembourser un montant aussi important, « alors même que je pensais avoir agi de manière juste et adéquate et que j’étais de bonne foi ».</w:t>
      </w:r>
    </w:p>
    <w:p>
      <w:r>
        <w:t>A/3792/2018 - 8/11 - Ce grief, de nature formelle, doit être examiné en premier lieu (ATF 127 V 431 consid. 3d/aa; ATF 124 V 90 consid. 2 notamment). b. Selon l’art. 49 al. 3 LPGA, les décisions indiquent les voies de droit. Elles doivent être motivées si elles ne font pas entièrement droit aux demandes des parties. La notification irrégulière d’une décision ne doit entraîner aucun préjudice pour l’intéressé. Le droit d'être entendu garanti par l'art. 29 al. 2 Cst.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(ATF 129 I 232 consid. 3.2; ATF 126 I 97 consid. 2b). c. Il y a en l’espèce lieu de constater que la décision litigieuse, à laquelle était annexé un décompte détaillé des prestations versées et des prestations dues, était correctement motivée. L’intéressé a par ailleurs été invité le 7 juin 2018 à s’expliquer sur les divergences constatées entre les salaires déclarés et les salaires effectivement perçus. Aussi le grief tiré de la violation du droit d’être entendu ne peut-il être que rejeté.</w:t>
      </w:r>
    </w:p>
    <w:p>
      <w:r>
        <w:rPr>
          <w:b/>
        </w:rPr>
        <w:t>E. 12</w:t>
      </w:r>
    </w:p>
    <w:p>
      <w:r>
        <w:t>Reste à examiner si les conditions d’une révision ou une reconsidération sont réalisées. Il s’agit en d’autres termes de déterminer si la SUVA était en droit de corriger le montant de l’indemnité journalière.</w:t>
      </w:r>
    </w:p>
    <w:p>
      <w:r>
        <w:rPr>
          <w:b/>
        </w:rPr>
        <w:t>E. 13</w:t>
      </w:r>
    </w:p>
    <w:p>
      <w:r>
        <w:t>Aux termes de l'art. 6 al. 1 LAA, l'assureur-accidents verse des prestations à l'assuré en cas d'accident professionnel, d'accident non professionnel et de maladie professionnelle.</w:t>
      </w:r>
    </w:p>
    <w:p>
      <w:r>
        <w:rPr>
          <w:b/>
        </w:rPr>
        <w:t>E. 14</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du gain assuré. Si l’incapacité de travail n’est que partielle, l’indemnité journalière est réduite en conséquence.</w:t>
      </w:r>
    </w:p>
    <w:p>
      <w:r>
        <w:rPr>
          <w:b/>
        </w:rPr>
        <w:t>E. 15</w:t>
      </w:r>
    </w:p>
    <w:p>
      <w:r>
        <w:t>Selon l’art. 15 al. 1 LAA, les indemnités journalières et les rentes sont calculées d'après le gain assuré. Est réputé gain assuré pour le calcul des indemnités journalières le dernier salaire que l'assuré a reçu avant l'accident; est déterminant pour le calcul des rentes le salaire que l'assuré a gagné durant l'année qui a précédé l'accident (art. 15 al. 2 LAA). L’art. 22 al. 2 de l’ordonnance sur l'assurance- accidents (OLAA - RS 832.202) définit le gain assuré comme le salaire déterminant</w:t>
      </w:r>
    </w:p>
    <w:p>
      <w:r>
        <w:t>A/3792/2018 - 9/11 - au sens de la législation sur l'AVS, compte tenu des dérogations suivantes: sont également assurés les salaires non soumis aux cotisations de l'AVS en raison de l'âge de l'assuré (let. a) ; font également partie du gain assuré les allocations familiales qui, au titre d'allocation pour enfants, d'allocation de formation ou d'allocation de ménage, sont versées conformément aux usages locaux ou professionnels (let. b) ; pour les membres de la famille de l'employeur travaillant dans l'entreprise, les associés, les actionnaires ou les membres de sociétés coopératives, il est au moins tenu compte du salaire correspondant aux usages professionnels et locaux (let. c) ; les indemnités versées en cas de résiliation des rapports de travail, lors de la fermeture ou de la fusion d'entreprises ou en des circonstances analogues, ne sont pas prises en compte (let. d). L’art. 24 al. 1 OLAA précise que si, au cours de l'année qui précède l'accident, le salaire de l'assuré a été réduit par suite de service militaire, de service civil, de service de protection civile, ou par suite d'accident, de maladie, de maternité, de chômage ou de réduction de l'horaire de travail, le gain assuré est celui que l'assuré aurait reçu sans la survenance de ces éventualités.</w:t>
      </w:r>
    </w:p>
    <w:p>
      <w:r>
        <w:rPr>
          <w:b/>
        </w:rPr>
        <w:t>E. 16</w:t>
      </w:r>
    </w:p>
    <w:p>
      <w:r>
        <w:t>L’administration est tenue de procéder à la révision d’une décision entrée en force formelle lorsque sont découverts des faits nouveaux ou de nouveaux moyens de preuve, susceptibles de conduire à une appréciation juridique différente. La révision procédurale est soumise aux délais prévus par l’art. 67 de la loi fédérale sur la procédure administrative du 20 décembre 1968 (PA - RS 172.021), applicable par renvoi de l’art. 55 al. 1 LPGA, à savoir un délai relatif de nonante jours dès la découverte du motif de révision et un délai absolu de dix ans qui commence à courir avec la notification de la décision (arrêt du Tribunal fédéral des assurances I 528/06 du 3 août 2007 consid. 4.2 et les références).</w:t>
      </w:r>
    </w:p>
    <w:p>
      <w:r>
        <w:rPr>
          <w:b/>
        </w:rPr>
        <w:t>E. 17</w:t>
      </w:r>
    </w:p>
    <w:p>
      <w:r>
        <w:t>En l’espèce, il n’est pas contesté que l’intéressé a droit au versement d’indemnités journalières à la suite de l’accident dont il a été victime le 10 septembre 2015. Ces indemnités sont calculées d’après le dernier salaire déterminant au sens de la législation sur l’AVS, que l’intéressé a réalisé durant l’année qui a précédé l’accident, soit en l’occurrence de septembre 2014 à septembre 2015. La SUVA avait à cet égard retenu dans un premier temps le salaire de CHF 76'800.- (72'000 + 4'800), figurant sur la déclaration de sinistre remplie par la société le 17 septembre 2015, et fixé l’indemnité journalière à CHF 168.35, compte tenu de l’art. 17 al. 1 LAA (80% de CHF 76'800 : 365). La SUVA a ainsi versé, du 10 septembre 2015 au 31 mars 2017, la somme totale de CHF 60'695.35. Il ressort toutefois du rapport de révision du 28 mai 2018 (et des comptes individuels de cotisations AVS-AI) que l’intéressé a été soumis à cotisations AVS sur un revenu de CHF 57'000.- en 2014 et CHF 8'000.- de janvier à septembre 2015. Le salaire qui doit être pris en considération est en conséquence de CHF 27'000.- [(CHF 57'000 : 12 x 4) + CHF 8’000], ce qui donne une indemnité journalière de CHF 59.20 (80% de CHF 27'000 : 365).</w:t>
      </w:r>
    </w:p>
    <w:p>
      <w:r>
        <w:t>A/3792/2018 - 10/11 -</w:t>
      </w:r>
    </w:p>
    <w:p>
      <w:r>
        <w:rPr>
          <w:b/>
        </w:rPr>
        <w:t>E. 18</w:t>
      </w:r>
    </w:p>
    <w:p>
      <w:r>
        <w:t>C’est dès lors à juste titre que la SUVA a repris le calcul des indemnités journalières dues à l’intéressé et lui a réclamé la restitution des prestations versées à tort. Partant, le recours, mal fondé, est rejeté.</w:t>
      </w:r>
    </w:p>
    <w:p>
      <w:r>
        <w:rPr>
          <w:b/>
        </w:rPr>
        <w:t>E. 19</w:t>
      </w:r>
    </w:p>
    <w:p>
      <w:r>
        <w:t>Il n’y a pas lieu d’examiner, dans le cadre de la présente procédure, si les conditions d’une remise de l’obligation de restituer sont remplies, à savoir si, cumulativement, l'intéressé était de bonne foi et si l’obligation de restituer l’exposerait à une situation difficile (art. 25 al. 1 phr. 2 LPGA). C’est une fois seulement qu’est entrée en force la décision portant sur la restitution elle-même des prestations perçues indûment que sont examinées ces deux conditions, sur requête de l’intéressé (arrêt du Tribunal fédéral 9C_678/2011 du 4 janvier 2012 consid. 5.2 ; ATAS/587/2016 du 19 juillet 2016 consid. 3 ; ATAS/365/2016 du 10 mai 2016 consid. 7a ; Ueli KIESER, ATSG Kommentar, 3ème éd., 2015, n. 9 ad art. 25 LPGA, p. 383). Il est loisible à l'intéressé de solliciter une telle remise de la part de la SUVA (cf. art. 2 ss OPGA).</w:t>
      </w:r>
    </w:p>
    <w:p>
      <w:r>
        <w:t>A/3792/2018 - 11/11 -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