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ATAS/420/2018 vom 17. Mai 2018</w:t>
      </w:r>
    </w:p>
    <w:p>
      <w:r>
        <w:t>GE Cour de justice, 2018-05-17, FR</w:t>
      </w:r>
    </w:p>
    <w:p>
      <w:r>
        <w:rPr>
          <w:b/>
        </w:rPr>
        <w:t xml:space="preserve">Quelle: </w:t>
      </w:r>
      <w:r>
        <w:t>https://mcp.opencaselaw.ch/entscheid/ge_gerichte_ATAS_420_2018</w:t>
      </w:r>
    </w:p>
    <w:p>
      <w:r>
        <w:t>FR: GE_GERICHTE ATAS/420/2018 du 17 mai 2018</w:t>
      </w:r>
    </w:p>
    <w:p>
      <w:r>
        <w:t>IT: GE_GERICHTE ATAS/420/2018 del 17 maggio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l’intimée était fondée de faire une reprise de cotisations sur les rémunérations versées à MM. B______ et D______ en 2011 et 2013. Se pose en particulier la question de savoir si ces personnes étaient des salariées de la recourante ou si elles avaient le statut d’indépendant.</w:t>
      </w:r>
    </w:p>
    <w:p>
      <w:r>
        <w:rPr>
          <w:b/>
        </w:rPr>
        <w:t>E. 4</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w:t>
      </w:r>
    </w:p>
    <w:p>
      <w:r>
        <w:t>A/4685/2017 - 8/12 - considéré (ATFA non publié du 19 mai 2006, H 6/05, consid. 2.2; ATF 123 V 162 consid. 1 et les arrêts cités). c.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w:t>
      </w:r>
    </w:p>
    <w:p>
      <w:r>
        <w:rPr>
          <w:b/>
        </w:rPr>
        <w:t>E. 5</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 b. Selon la jurisprudence et la doctrine, l'autorité administrative ou le juge ne doivent considérer un fait comme prouvé que lorsqu'ils sont convaincus de sa réalité (ATFA non publié du 7 mars 2005, H 125/04, consid. 7.3). Dans le domaine</w:t>
      </w:r>
    </w:p>
    <w:p>
      <w:r>
        <w:t>A/4685/2017 - 9/12 -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6</w:t>
      </w:r>
    </w:p>
    <w:p>
      <w:r>
        <w:t>En l’espèce, la recourante a collaboré avec l'appelé en cause I en 2011 pour la création du son et la régie d’un spectacle, service que celui-ci a facturé à CHF 13'600.-. Concernant ce genre de travail, il doit être admis que l’employeur, par l'intermédiaire du metteur en scène, a le droit de donner des instructions, si bien qu’il y a un rapport de subordination à l’égard de celui-ci. Il y a certes une certaine liberté artistique et un travail de création, mais cela n'est pas incompatible avec un rapport de travail, à l'instar du travail des metteurs en scène qui sont généralement engagés en tant que salariés. Par ailleurs, l'appelé en cause I était assurément tenu d’exécuter personnellement la tâche qui lui était confiée. Toutefois, il faut reconnaître qu'il travaille avec de multiples employeurs et ne collabore ainsi pas seulement avec la recourante, ce qui constitue plutôt un indice pour une activité indépendante. Quant au risque économique, il est difficile d’apprécier cette question, cet appelé en cause ne s’étant pas déterminé ni présenté à l’audience de comparution personnelle des parties. On ignore dès lors s'il a effectué des investissements importants pour son activité et s'il doit supporter des charges courantes, notamment pour la location d'un bureau. Cela ne semble cependant pas être le cas. En tout état de cause, l'absence de preuve d'un risque économique doit être supportée par la recourante, au vu de ce qui vient d'être exposé. A cela s’ajoute que les techniciens de son et lumières semblent plutôt être engagés en tant que salariés, comme l’a déclaré l’appelé en cause II lors de son audition. Enfin, la recourante collabore avec des techniciens de son et lumière aussi bien avec un statut de salarié que d'indépendant. Dans ces conditions, il ne peut être admis que l’élément de l’activité indépendante soit prépondérant. Aussi, l’intimée a considéré à raison l’appelé en cause I comme salarié et a réclamé les cotisations afférentes à sa rémunération à la recourante.</w:t>
      </w:r>
    </w:p>
    <w:p>
      <w:r>
        <w:rPr>
          <w:b/>
        </w:rPr>
        <w:t>E. 7</w:t>
      </w:r>
    </w:p>
    <w:p>
      <w:r>
        <w:t>S’agissant de l’appelé en cause II, la question est plus délicate. En effet, pour le spectacle en cause, il a fourni un ordinateur et des accessoires, notamment pour la musique. Il a facturé la location de ce matériel au prix de CHF 2'377.-, ce qui représente 32 % de la facture totale de CHF 7'377.-. Toutefois, parallèlement, il</w:t>
      </w:r>
    </w:p>
    <w:p>
      <w:r>
        <w:t>A/4685/2017 - 10/12 - avait d’autres rôles dans ce spectacle. Il y a collaboré non seulement pour l’éclairage et le son, mais également comme scénographe et comédien. Or, ces professions constituent généralement des activités salariées. Par ailleurs, le spectacle a eu lieu au Théâtre J______. Il ne s’agit pas d’une salle non équipée, si bien que l'appelé en cause II ne devait pas fournir tout le matériel nécessaire pour l'éclairage (projecteurs, pont lumière etc.). Il est en outre à supposer que l’appelé en cause II était tenu d’exécuter personnellement le travail qui lui était confié, d’autant plus qu’il intervenait également dans ce spectacle en tant que scénographe et comédien. S’il est vrai que l'appelé en cause II devait disposer de matériel pour le spectacle en cause, il ne semble pas que cet investissement soit très élevé. Il a en effet déclaré qu’il utilisait dans le cadre de son travail encore de vieux systèmes. Même s’il a dû récemment investir dans du matériel pour un spectacle de l’Association L______ (L______), le coût de cet investissement était relativement modeste, dès lors qu’il s'est élevé à moins de CHF 1'000.-. En outre, il n'a pas fait état de charges courantes importantes qu'il doit assumer. Enfin, l’appelé en cause II a admis qu’il est engagé généralement comme salarié. Dans ces conditions, l’élément prédominant est le rapport de dépendance, en l'absence d'un véritable risque économique, les investissements étant relativement faibles et les charges courantes nulles. Partant, l’intimée était également en droit de réclamer à la recourante les cotisations afférentes à la rémunération versée à l'appelé en cause II.</w:t>
      </w:r>
    </w:p>
    <w:p>
      <w:r>
        <w:rPr>
          <w:b/>
        </w:rPr>
        <w:t>E. 8</w:t>
      </w:r>
    </w:p>
    <w:p>
      <w:r>
        <w:t>Toutefois, comme l’intimée l’a admis, il convient de déduire du montant versé à l'appelant en cause II, d’un total de CHF 14'377.-, les frais pour matériel divers et location régie de CHF 2'377.-, ceux-ci ne constituant pas un salaire.</w:t>
      </w:r>
    </w:p>
    <w:p>
      <w:r>
        <w:rPr>
          <w:b/>
        </w:rPr>
        <w:t>E. 9</w:t>
      </w:r>
    </w:p>
    <w:p>
      <w:r>
        <w:t>Quant à l'argument de la recourante que le mandat a été donné à H______ dont l'appelé en cause II est l'employé, il ne peut être suivi. On ignore si cette structure existe, elle n'a pas de site internet et ni la recourante ni l'appelé en cause II n'ont produit ne serait-ce que les statuts de cette entité. Le numéro d'employeur indiqué sur la facture ne correspond pas non plus à H______, mais à la compagne de l'appelé en cause II. Celle-ci n'a au demeurant déclaré aucun employé et a mentionné une activité de danse et non pas une activité de création de lumières et de scénographie dans le domaine culturel. Il en va de même pour F______, structure mentionnée par l'appelé en cause I sur sa facture avec une adresse à Genève, qui n'est enregistrée nulle part.</w:t>
      </w:r>
    </w:p>
    <w:p>
      <w:r>
        <w:rPr>
          <w:b/>
        </w:rPr>
        <w:t>E. 10</w:t>
      </w:r>
    </w:p>
    <w:p>
      <w:r>
        <w:t>En ce que la recourante fait valoir qu'elle croyait de bonne foi que les appelés en cause étaient des indépendants au sens de la loi et qu'elle n'a aucune réserve financière pour payer les cotisations arriérées, il s'agit d'éléments qui doivent être pris en compte dans le cadre de l'examen de la remise. En effet, si la personne pouvait croire de bonne foi qu'elle ne devait pas payer les cotisations arriérées, elle en sera exonérée pour tout ou partie, lorsque le paiement</w:t>
      </w:r>
    </w:p>
    <w:p>
      <w:r>
        <w:t>A/4685/2017 - 11/12 - de ces cotisations représente une charge trop lourde en raison de ses conditions d'existence (art. 40 al. 1 du règlement sur l'assurance-vieillesse et survivants du 31 octobre 1947 RAVS - RS 831.101). Cette question est examinée dans une procédure distincte, sur demande écrite et motivée (art. 40 al. 2 RAVS). En l'occurrence, il peut être considéré que la recourante a d'ores et déjà formé une demande de remise dans le cadre de son recours, si bien que la cause sera renvoyée à l'intimée pour examen de cette demande.</w:t>
      </w:r>
    </w:p>
    <w:p>
      <w:r>
        <w:rPr>
          <w:b/>
        </w:rPr>
        <w:t>E. 11</w:t>
      </w:r>
    </w:p>
    <w:p>
      <w:r>
        <w:t>Cela étant, le recours sera partiellement admis et la décision réformée dans le sens que la recourante est tenue de payer des cotisations paritaires arriérées pour 2013 sur un montant de salaire net de CHF 13'250.- (CHF 7000.- + CHF 7'377 – CHF 2'377.- + CHF 1'250.-). La cause sera par ailleurs renvoyée à l’intimée pour le calcul des cotisations paritaires, frais et intérêts dus sur ce montant, converti en salaire brut, ainsi que pour examiner si une remise de l'obligation de payer les cotisations arriérées peut être octroyée à la recourante et, ceci fait, rendre une nouvelle décision sur ce point.</w:t>
      </w:r>
    </w:p>
    <w:p>
      <w:r>
        <w:rPr>
          <w:b/>
        </w:rPr>
        <w:t>E. 12</w:t>
      </w:r>
    </w:p>
    <w:p>
      <w:r>
        <w:t>La procédure est gratuite.</w:t>
      </w:r>
    </w:p>
    <w:p>
      <w:r>
        <w:t>***</w:t>
      </w:r>
    </w:p>
    <w:p>
      <w:r>
        <w:t>A/4685/2017 - 12/12 -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