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ATAS/420/2017 vom 22. Mai 2017</w:t>
      </w:r>
    </w:p>
    <w:p>
      <w:r>
        <w:t>GE Cour de justice, 2017-05-22, FR</w:t>
      </w:r>
    </w:p>
    <w:p>
      <w:r>
        <w:rPr>
          <w:b/>
        </w:rPr>
        <w:t xml:space="preserve">Quelle: </w:t>
      </w:r>
      <w:r>
        <w:t>https://mcp.opencaselaw.ch/entscheid/ge_gerichte_ATAS_420_2017</w:t>
      </w:r>
    </w:p>
    <w:p>
      <w:r>
        <w:t>FR: GE_GERICHTE ATAS/420/2017 du 22 mai 2017</w:t>
      </w:r>
    </w:p>
    <w:p>
      <w:r>
        <w:t>IT: GE_GERICHTE ATAS/420/2017 del 22 maggio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l’aptitude au placement de la recourante entre le 3 octobre 2016 et le 13 février 2017, singulièrement sur la question de savoir si elle avait, durant cette période, une solution de garde pour son enfant.</w:t>
      </w:r>
    </w:p>
    <w:p>
      <w:r>
        <w:t>A/786/2017 - 7/11 -</w:t>
      </w:r>
    </w:p>
    <w:p>
      <w:r>
        <w:rPr>
          <w:b/>
        </w:rPr>
        <w:t>E. 4</w:t>
      </w:r>
    </w:p>
    <w:p>
      <w:r>
        <w:t>a.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 b.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 Est notamment réputé inapte au placement l'assuré qui n'a pas l'intention ou qui n'est pas à même d'exercer une activité salariée, par exemple parce qu'il a entrepris - ou envisage d'entreprendre - une activité lucrative indépendante.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Ainsi, l'aptitude au placement doit être admise avec beaucoup de retenue lorsque, en raison de tâches familiales comme la tenue du ménage ou la garde d'enfants en bas âge par exemple, un assuré ne peut exercer une activité lucrative qu'à des heures déterminées de la journée (ATFA non publiés C 315/02 du 12 juin 2003, consid. 1 et C 236/02 du 267 janvier 2003, consid. 1.2; cf. également RUBIN, Assurance-chômage, p. 241, no 3.9.8.14.1). On se saurait d'emblée nier l'aptitude au placement en raison d'obligations familiales, surtout lorsqu'une personne a démontré, avant son chômage, qu'elle parvenait à concilier lesdites obligations avec</w:t>
      </w:r>
    </w:p>
    <w:p>
      <w:r>
        <w:t>A/786/2017 - 8/11 - l'accomplissement d'un travail à un taux d'occupation correspondant à la disponibilité alléguée (ATF non publié C 90/03 du 10 novembre 2003). c. Dans un arrêt du 27 octobre 1993 (DTA 1993/1994 n° 31 p. 219), le Tribunal fédéral des assurances a déclaré conforme au droit fédéral la directive de l'ex- OFIAMT relative à l'aptitude au placement d'assurés assumant la garde d'enfants en bas âge. Aux termes de cette directive (Bulletin AC 93/1, fiche 3), la manière dont les parents entendent régler la question de la garde de leurs enfants relève de leur vie privée. En conséquence, l'assurance-chômage n'entreprend aucune vérification à ce sujet au moment du dépôt de la demande d'indemnités, sous réserve d'abus manifestes (DTA 2006 p. 62).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(cf. également ATFA non publié C 28/00 du 14 août 2000, consid. 2a). Dans sa version actuelle, la Circulaire relative à l'indemnité de chômage établie par le Secrétariat d'Etat à l'économie (CIC),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Un assuré est par contre considéré comme inapte au placement s'il est à tel point limité dans le choix d'un emploi qu'il apparaît très incertain qu'il en trouve un dans ces conditions et avec de telles dispositions, quel que soit le motif restreignant ses possibilités de travail (CIC 2007, B 224). d.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RUBIN, op. cit., p. 242). e. Selon l'art. 24 al. 1 et 2 OACI, si l’office compétent considère que l’assuré n’est pas apte au placement ou ne l’est que partiellement, il en informe la caisse (al. 1). L’office compétent rend une décision sur l’étendue de l’aptitude au placement (al. 2).</w:t>
      </w:r>
    </w:p>
    <w:p>
      <w:r>
        <w:rPr>
          <w:b/>
        </w:rPr>
        <w:t>E. 5</w:t>
      </w:r>
    </w:p>
    <w:p>
      <w:r>
        <w:t>Les explications d'un assuré sur le déroulement d'un fait allégué sont au bénéfice d'une présomption de vraisemblance. Il peut néanmoins arriver que les déclarations</w:t>
      </w:r>
    </w:p>
    <w:p>
      <w:r>
        <w:t>A/786/2017 - 9/11 -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l’intimé a déclaré la recourante apte au placement à 50 % du 3 octobre 2016 au 13 février 2017 au motif, d’une part, que celle-ci avait demandé de réduire son taux d’activité au CAGI de 80 % à 50 % dès le 1er octobre 2016 en raison d’un problème de garde d’enfant, d’autre part, que l’attestation de garde d’enfants signée par M. B______ le 22 décembre 2016 indiquait des possibilités de garde insuffisantes et que celui-ci avait signé deux attestations de garde différentes (décisions de l’intimé des 12 janvier et 23 février 2017). La Chambre de céans constate que la motivation de l’intimé ne saurait être suivie. En effet, la recourante a déclaré que sa demande de diminution du taux d’activité avait été faite sur proposition de sa conseillère, Mme C______, en raison du fait qu’il n’y avait pas assez de travail dans le cadre de son stage au CAGI. Cette déclaration n’a pas été contestée par l’intimé et est corroborée par le procès-verbal d’entretien de conseil du 11 août 2016 attestant que la recourante allait proposer de faire un 50 %, voire interrompre le stage car, malgré le fait que le cadre était agréable et l’équipe sympa, il y avait un vrai manque de travail ainsi que par le procès-verbal d’entretien de conseil du 22 septembre 2016 relevant qu’il a été convenu de diminuer le taux d’activité de la recourante à 50 % dès le 1er octobre. À aucun moment le problème de garde de l’enfant de la recourante n’est évoqué pour justifier une diminution du taux d’activité de celle-ci. La recourante s’est même inquiétée auprès de sa conseillère pour savoir si la diminution de son taux de travail n’aurait effectivement pas de conséquence sur son indemnisation (courriel du 15 septembre 2016) et a précisé ensuite qu’elle n’aurait pas diminué son taux d’activité si elle avait su que cette diminution entraînerait une réduction de son indemnisation (PV d’audience du 8 mai 2017).</w:t>
      </w:r>
    </w:p>
    <w:p>
      <w:r>
        <w:t>A/786/2017 - 10/11 - La recourante a précisé que les problèmes de garde évoqués lors de l’entretien de conseil du 7 décembre 2016 relevaient de problèmes de couple (déclaration du 22 décembre 2016 et opposition du 3 février 2017), la garde de l’enfant étant néanmoins toujours assurée par le père de celui-ci. Par ailleurs, M. B______ a attesté le 22 décembre 2016 qu’il pouvait garder l’enfant les mardis de 13h30 à 19h30, les mercredis de 08h30 à 17h30 et les jeudis et vendredis de 8h30 à 13h30, soit durant l’horaire de travail de la recourante au CAGI, rappelée dans le procès-verbal d’entretien de conseil du 22 septembre 2016 (la recourante travaillait les mardis, jeudis et vendredis à mi-temps, et le mercredi toute la journée) ; cette attestation correspond ainsi au temps de garde effective de M. B______, comme la indiqué la recourante (PV d’audience du 8 mai 2017), étant précisé que M. B______ était en réalité disponible pour garder son enfant à 100 %, étant lui-même en recherche d’emploi sans être inscrit au chômage (PV d’audience du 8 mai 2017). Dans ces conditions, la modification subséquente de l’attestation du 22 décembre 2016 par M. B______, indiquant une possibilité de garde de son enfant à 100 % n’est pas contradictoire, la première attestation correspondant à l’horaire de garde effectué et la seconde à l’horaire de garde possible. Par ailleurs, la sœur de la recourante a attesté le 14 février 2017 être en mesure de garder son neveu tous les mercredis de 8h à 19h et la recourante a précisé que tel était le cas depuis son inscription au chômage, son enfant étant souvent gardé les mercredis par sa sœur. Au surplus, la recourante a précisé que le site Pomme d’Api avait accueilli son enfant dès fin janvier 2017, soit antérieurement à la date du 14 février 2017 retenue par l’intimé, ce qui n’a pas été contesté par celui-ci, et ce qui paraît totalement vraisemblable au vu des courriers du 13 janvier 2017 du Site Pomme d’Api adressé à la recourante et fixant à celle-ci un rendez-vous le 20 janvier 2017 pour conclure le dossier d’inscription Au vu de ce qui précède, il convient de constater que la recourante disposait d’une solution de garde pour son enfant à un taux d’au moins 80 % depuis le 3 octobre 2016, de sorte que son aptitude au placement était également de 80 % depuis cette date.</w:t>
      </w:r>
    </w:p>
    <w:p>
      <w:r>
        <w:rPr>
          <w:b/>
        </w:rPr>
        <w:t>E. 8</w:t>
      </w:r>
    </w:p>
    <w:p>
      <w:r>
        <w:t>Bien fondé, le recours sera admis et la décision du 23 février 2017 reformée dans ce sens. Pour le surplus, la procédure est gratuite (art. 89H al. 1 LPA).</w:t>
      </w:r>
    </w:p>
    <w:p>
      <w:r>
        <w:t>A/786/2017 - 11/11 -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