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ATAS/420/2016 vom 26. Mai 2016</w:t>
      </w:r>
    </w:p>
    <w:p>
      <w:r>
        <w:t>GE Cour de justice, 2016-05-26, FR</w:t>
      </w:r>
    </w:p>
    <w:p>
      <w:r>
        <w:rPr>
          <w:b/>
        </w:rPr>
        <w:t xml:space="preserve">Quelle: </w:t>
      </w:r>
      <w:r>
        <w:t>https://mcp.opencaselaw.ch/entscheid/ge_gerichte_ATAS_420_2016</w:t>
      </w:r>
    </w:p>
    <w:p>
      <w:r>
        <w:t>FR: GE_GERICHTE ATAS/420/2016 du 26 mai 2016</w:t>
      </w:r>
    </w:p>
    <w:p>
      <w:r>
        <w:t>IT: GE_GERICHTE ATAS/420/2016 del 26 maggio 2016</w:t>
      </w:r>
    </w:p>
    <w:p>
      <w:pPr>
        <w:pStyle w:val="Heading2"/>
      </w:pPr>
      <w:r>
        <w:t>Erwägungen</w:t>
      </w:r>
    </w:p>
    <w:p>
      <w:r>
        <w:rPr>
          <w:b/>
        </w:rPr>
        <w:t>E. 1</w:t>
      </w:r>
    </w:p>
    <w:p>
      <w:r>
        <w:t>a) Selon l'art. 54 al. 1 let. c LPGA, les décisions et les décisions sur opposition sont exécutoires lorsque l'effet suspensif attribué à une opposition ou à un recours a été retiré. b) Selon l’art. 11. OPGA,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 al. 1). L'assureur peut, sur requête ou d'office, retirer l'effet suspensif ou rétablir l'effet suspensif retiré dans la décision. Une telle requête doit être traitée sans délai (al. 2).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w:t>
      </w:r>
    </w:p>
    <w:p>
      <w:r>
        <w:t>A/1232/2016 - 14/16 -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S'agissant des prévisions sur l'issue du litige, le Tribunal fédéral a jugé, dans un cas I 439/06 du 19 septembre 2006, qu’elles ne présentent pas pour l'assurée, un degré de certitude suffisant pour qu'elles soient prises en considération ; les avis divergeaient aussi bien sur la situation médicale concrète de l'assurée que sur l'appréciation de sa capacité résiduelle de travail, rendant l'issue du litige tout à fait incertaine ;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 le retrait de l'effet suspensif par l'autorité était par conséquent justifié.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w:t>
      </w:r>
    </w:p>
    <w:p>
      <w:r>
        <w:rPr>
          <w:b/>
        </w:rPr>
        <w:t>E. 2</w:t>
      </w:r>
    </w:p>
    <w:p>
      <w:r>
        <w:t>En l'espèce, l’intimé, dans la décision litigieuse, a considéré que l’état de santé de la recourante s’était amélioré, de telle sorte qu’elle avait recouvré une capacité de travail de 50% ; il s’est fondé pour cela sur les expertises des</w:t>
      </w:r>
    </w:p>
    <w:p>
      <w:r>
        <w:t>A/1232/2016 - 15/16 - Drs M______ et K______, le premier concluant à une capacité de travail totale, du point de vue neurologique, et le second, à une capacité de travail de 50% depuis début 2001. Le SMR a précisé, le 13 novembre 2015, que les expertises étaient pleinement convaincantes, mais que, contrairement à l’avis du Dr K______, on ne pouvait attester une nette amélioration de l’état clinique de l’assurée qu’en 2003, suite à l’intervention bariatique. L’intimé a ainsi considéré que l’amélioration de l’état de santé de la recourante était documentée depuis 2003. La recourante se prévaut du fait que l’intimé a procédé au dernier examen matériel du droit à sa rente d’invalidité le 22 mai 2008, et qu’aucune amélioration de son état de santé n’a été constatée par les experts postérieurement au 22 mai 2008, ce d’autant que les expertises des Drs I______ et K______ n’apportent aucune valeur probante. L’intimé conteste le fait que la communication du 22 mai 2008 repose sur une évaluation matérielle des faits et en conclut que la situation de la recourante au jour de la réduction de la prestation doit être comparée avec l’état de fait existant lors de l’octroi initial de la rente. La chambre de céans constate que cette question devra faire l’objet d’un examen pour déterminer si c’est à juste titre que l’intimé a constaté, en particulier sur la base de l’expertise psychiatrique qu’elle a ordonné, une amélioration de l’état de santé de la recourante juridiquement déterminante ; par ailleurs, la valeur probante des expertises des Drs K______ et M______ devra également être examinée. Au demeurant, on doit considérer que les prévisions sur l’issue du litige ne présentent pas un degré de certitude suffisant pour qu’elles soient prises en considération, une instruction complémentaire étant vraisemblablement nécessaire. Ainsi, l’intérêt de l’intimé à réduire immédiatement sa prestation l’emporte sur celui de la recourante à percevoir une rente entière d’invalidité, étant relevé que l’argument de la recourante selon lequel la réduction de sa rente d’invalidité la placerait dans une situation précaire, n’est pas, selon la jurisprudence précitée, un élément favorable dans la pesée des intérêts en présence ; en application de la jurisprudence précitée, il est en effet à craindre dans un tel cas que si la recourante n'obtient pas gain de cause, la procédure en restitution des prestations reçues à tort ne se révèle infructueuse.</w:t>
      </w:r>
    </w:p>
    <w:p>
      <w:r>
        <w:rPr>
          <w:b/>
        </w:rPr>
        <w:t>E. 3</w:t>
      </w:r>
    </w:p>
    <w:p>
      <w:r>
        <w:t>Au vu de ce qui précède, la requête en restitution de l'effet suspensif au recours sera rejetée et la suite de la procédure réservée.</w:t>
      </w:r>
    </w:p>
    <w:p>
      <w:r>
        <w:t>A/1232/2016 - 16/16 -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