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ATAS/41/2020 vom 28. Januar 2020</w:t>
      </w:r>
    </w:p>
    <w:p>
      <w:r>
        <w:t>GE Cour de justice, 2020-01-28, FR</w:t>
      </w:r>
    </w:p>
    <w:p>
      <w:r>
        <w:rPr>
          <w:b/>
        </w:rPr>
        <w:t xml:space="preserve">Quelle: </w:t>
      </w:r>
      <w:r>
        <w:t>https://mcp.opencaselaw.ch/entscheid/ge_gerichte_ATAS_41_2020</w:t>
      </w:r>
    </w:p>
    <w:p>
      <w:r>
        <w:t>FR: GE_GERICHTE ATAS/41/2020 du 28 janvier 2020</w:t>
      </w:r>
    </w:p>
    <w:p>
      <w:r>
        <w:t>IT: GE_GERICHTE ATAS/41/2020 del 28 gennaio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la forme et le délai prévus par la loi, le recours est recevable (art. 56 et 60 de la loi fédérale sur la partie générale du droit des assurances sociales du</w:t>
      </w:r>
    </w:p>
    <w:p>
      <w:r>
        <w:rPr>
          <w:b/>
        </w:rPr>
        <w:t>E. 6</w:t>
      </w:r>
    </w:p>
    <w:p>
      <w:r>
        <w:t>Il convient d'ajouter qu'en exécution de sa compétence d'édicter des normes secondaires en la matière (art. 9 al. 5 LPC), le Conseil fédéral a réglé spécifiquement la situation des couples séparés à l'art. 1 OPC-AVS/AI, aux termes duquel « 1 Lorsqu’une rente de l’assurance-vieillesse et survivants ou de l’assurance- 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w:t>
      </w:r>
    </w:p>
    <w:p>
      <w:r>
        <w:t>A/1070/2019 - 7/11 - 2 Les époux qui n’ont droit ni à une rente ni au versement d’une rente complémentaire de l’assurance-vieillesse et survivants ne peuvent, lors de la séparation, prétendre l’octroi de prestations complémentaires. 3 ... 4 Les époux sont considérés comme vivant séparés au sens des al. 1 et 2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 Le calcul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art. 2 let. a du Règlement d'application de la loi sur les prestations fédérales complémentaires à l'assurance-vieillesse et survivants et à l'assurance-invalidité du 23 décembre 1998 (ci-après: RLPC); Directives concernant les prestations complémentaires à l'AVS et à l'AI, état 1er janvier 2006, p. 37, n°2033 à 2036 (ci-après: DPC 2006)). Par ailleurs, le loyer annuel d'un appartement et les frais accessoires y relatifs sont pris en compte comme dépense, jusqu'à concurrence du montant maximum applicable aux personnes seules (art. 5 al. 1 let. b ch. 1 LPC;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art. 7 al. 4 et art. 8 al. 4 LPCC). Enfin, le loyer annuel d'un appartement et les frais accessoires y relatifs sont pris en compte comme dépense, jusqu'à concurrence du montant maximum applicable aux personnes seules (art. 4 al. 1 du Règlement d'application de la loi sur les prestations cantonales complémentaires à l'assurance-vieillesse et survivants et à l'assurance-invalidité du 25 juin 1999 (ci-après : RLPCC).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Dans son arrêt paru in RCC 1986 143, le Tribunal fédéral a traité le cas d’un couple séparé judiciairement, mais vivant encore ensemble dans le même appartement.</w:t>
      </w:r>
    </w:p>
    <w:p>
      <w:r>
        <w:t>A/1070/2019 - 8/11 - Constatant que la situation économique n’avait pas changé puisqu’ils faisaient ménage commun, il a considéré qu’il fallait en l’occurrence se fonder sur les circonstances effectives et non pas sur les circonstances juridiques, de sorte que les prestations complémentaires devaient être calculées selon les règles valables pour des époux vivant ensemble. Cependant, dans un arrêt plus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recourant avait exposé, de manière convaincante, les raisons qui l’avaient amené à partager un appartement avec son ex-femme. Il avait notamment indiqué qu’ils avaient décidé de partager un appartement pour des motifs financiers et à cause de problèmes de santé (arrêt du Tribunal fédéral 9C_282/2010 du 25 février 2011).</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l’assuré a informé le SPC, par courrier du 17 septembre 2018, qu'il partagerait, dès le 1er octobre suivant, son logement avec son ex-épouse et le fils de celle-ci. Le SPC a ainsi calculé un logement dit proportionnel à compter de cette date, et a divisé le loyer par trois. L’art. 16c OPC-AVS prévoit en effet que le loyer doit être réparti entre les trois occupants de l’appartement, dont l’assuré lui-même, et être compris dans ses charges locatives annuelles. Il résulte de la jurisprudence que la répartition du paiement du loyer entre ces personnes n'est pas déterminante. Reste à se poser la question de savoir s’il existe des circonstances particulières autorisant une dérogation à la règle générale du partage à parts égales du loyer en cas de cohabitation, étant rappelé qu'une dérogation ne doit être admise qu'avec prudence.</w:t>
      </w:r>
    </w:p>
    <w:p>
      <w:r>
        <w:t>A/1070/2019 - 9/11 -</w:t>
      </w:r>
    </w:p>
    <w:p>
      <w:r>
        <w:rPr>
          <w:b/>
        </w:rPr>
        <w:t>E. 9</w:t>
      </w:r>
    </w:p>
    <w:p>
      <w:r>
        <w:t>L’assuré ne conteste pas que le loyer soit réparti entre son ex-épouse et lui-même. Il ne comprend en revanche pas pour quelle raison le SPC tient compte de l'enfant dans son calcul, alors que celui-ci est mineur.</w:t>
      </w:r>
    </w:p>
    <w:p>
      <w:r>
        <w:rPr>
          <w:b/>
        </w:rPr>
        <w:t>E. 10</w:t>
      </w:r>
    </w:p>
    <w:p>
      <w:r>
        <w:t>Il y a lieu de constater que cet enfant ne donne pas droit à une rente et n'est pas non plus bénéficiaire d'une rente. Il n'est pas inclus dans le calcul des prestations complémentaires dues à l'assuré. Une dérogation pourrait être prise en considération si la cohabitation découlait d'une obligation d'entretien du droit civil. Tel n'est en l'espèce pas le cas. Le compagnon de l'ex-épouse assume quoi qu'il en soit entièrement l'entretien de celle-ci et de leur enfant. L'assuré n'a pas non plus un devoir moral d’héberger le fils de son ex-épouse. Aussi rien ne s'oppose-t-il au partage du loyer à parts égales entre l'assuré, son ex- épouse et l'enfant.</w:t>
      </w:r>
    </w:p>
    <w:p>
      <w:r>
        <w:rPr>
          <w:b/>
        </w:rPr>
        <w:t>E. 11</w:t>
      </w:r>
    </w:p>
    <w:p>
      <w:r>
        <w:t>Force dès lors est de constater que le montant de CHF 1'466.- versé à l’assuré par le SPC l’a été à tort.</w:t>
      </w:r>
    </w:p>
    <w:p>
      <w:r>
        <w:rPr>
          <w:b/>
        </w:rPr>
        <w:t>E. 12</w:t>
      </w:r>
    </w:p>
    <w:p>
      <w:r>
        <w:t>S'agissant des prestations complémentaires fédérales, selon l'art. 25 al. 1 1ère phr.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 LPCC prévoit également que les prestations indûment touchées doivent être restituées.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w:t>
      </w:r>
    </w:p>
    <w:p>
      <w:r>
        <w:rPr>
          <w:b/>
        </w:rPr>
        <w:t>E. 14</w:t>
      </w:r>
    </w:p>
    <w:p>
      <w:r>
        <w:t>En outre, le fait que l’assuré partage son logement avec d’autres personnes constitue assurément un fait nouveau permettant au SPC de réviser sa décision. Partant, le SPC est en droit de demander la restitution de la somme de CHF 1'466.- représentant les prestations complémentaires fédérales et cantonales indûment versées du 1er octobre au 30 novembre 2018.</w:t>
      </w:r>
    </w:p>
    <w:p>
      <w:r>
        <w:rPr>
          <w:b/>
        </w:rPr>
        <w:t>E. 15</w:t>
      </w:r>
    </w:p>
    <w:p>
      <w:r>
        <w:t>Au vu de ce qui précède, le recours sera rejeté. Toutefois, il est loisible à l’assuré de demander une remise de l’obligation de restituer la somme réclamée. En effet, aux termes des art. 25 al. 1 2ème phr. LPGA et 24 al. 1 2ème phr. LPCC, la restitution ne peut être exigée lorsque l'intéressé était de bonne foi et qu'elle le mettrait dans une situation financière difficile.</w:t>
      </w:r>
    </w:p>
    <w:p>
      <w:r>
        <w:rPr>
          <w:b/>
        </w:rPr>
        <w:t>E. 16</w:t>
      </w:r>
    </w:p>
    <w:p>
      <w:r>
        <w:t>L'art. 4 al. 4 OPGA prescrit à cet égard que la demande de remise doit être présentée par écrit, être motivée et accompagnée des pièces nécessaires et déposée dans un délai de 30 jours à compter de l'entrée en force de la décision de restitution. Ce délai constitue toutefois un délai d'ordre et non de péremption (ATF 132 V 42 consid. 3 p. 44ss).</w:t>
      </w:r>
    </w:p>
    <w:p>
      <w:r>
        <w:rPr>
          <w:b/>
        </w:rPr>
        <w:t>E. 17</w:t>
      </w:r>
    </w:p>
    <w:p>
      <w:r>
        <w:t>La procédure est gratuite.</w:t>
      </w:r>
    </w:p>
    <w:p>
      <w:r>
        <w:t>A/1070/2019 - 11/11 -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