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ATAS/41/2017 vom 24. Januar 2017</w:t>
      </w:r>
    </w:p>
    <w:p>
      <w:r>
        <w:t>GE Cour de justice, 2017-01-24, FR</w:t>
      </w:r>
    </w:p>
    <w:p>
      <w:r>
        <w:rPr>
          <w:b/>
        </w:rPr>
        <w:t xml:space="preserve">Quelle: </w:t>
      </w:r>
      <w:r>
        <w:t>https://mcp.opencaselaw.ch/entscheid/ge_gerichte_ATAS_41_2017</w:t>
      </w:r>
    </w:p>
    <w:p>
      <w:r>
        <w:t>FR: GE_GERICHTE ATAS/41/2017 du 24 janvier 2017</w:t>
      </w:r>
    </w:p>
    <w:p>
      <w:r>
        <w:t>IT: GE_GERICHTE ATAS/41/2017 del 24 gennaio 2017</w:t>
      </w:r>
    </w:p>
    <w:p>
      <w:pPr>
        <w:pStyle w:val="Heading2"/>
      </w:pPr>
      <w:r>
        <w:t>Erwägungen</w:t>
      </w:r>
    </w:p>
    <w:p>
      <w:r>
        <w:rPr>
          <w:b/>
        </w:rPr>
        <w:t>E. 1</w:t>
      </w:r>
    </w:p>
    <w:p>
      <w:r>
        <w:t>Aux termes de l’art. 73 al. 1 LPP, chaque canton désigne un tribunal qui connaît, en dernière instance cantonale, des contestations opposant institutions de prévoyance, employeurs et ayants droit. Les décisions des tribunaux cantonaux peuvent être déférées au Tribunal fédéral des assurances par la voie du recours de droit administratif (art. 73 al. 4 LPP). La Fondation FAR a été créée le 19 mars 2003 en vue de l'application commune de la CCT RA conformément à l'art. 357b CO. Il s'agit d'une institution de prévoyance non enregistrée (ch. 1.1 Acte de fondation). Elle ne participe en effet pas à l'application du régime de l'assurance obligatoire au sens de la LPP. Selon l'art. 89 bis al. 6 CC, les art. 73 et 74 LPP sont applicables en matière de contentieux pour les institutions de prévoyance non enregistrées dont l'activité s'étend à la prévoyance professionnelle. L'art. 73 LPP s’applique, d’une part, aux institutions de prévoyance enregistrées de droit privé ou de droit public – aussi bien en ce qui concerne les prestations minimales obligatoires qu’en ce qui concerne les prestations s’étendant au-delà (art. 49 al. 2 LPP) – et, d’autre part, aux fondations de prévoyance en faveur du personnel non enregistrées, dans le domaine des prestations qui dépassent le minimum obligatoire (art. 89 bis al. 6 CC ; ATF 122 V 323 consid. 2a). L’art. 73 LPP constitue une réglementation spéciale, dérogeant à l’OJ, dans la mesure où il supprime implicitement une des conditions ordinaires de recevabilité du recours de droit administratif, à savoir l’existence d’une décision fondée sur le droit public fédéral (arrêt non publié du 25 janvier 2000, B 37/99 Kt ; ATF 114 V 105 consid. 1b). Les institutions de prévoyance de droit privé ou de droit public ne sont en effet pas habilitées à rendre des décisions proprement dites. Leurs déclarations ne constituent pas une décision au sens juridique du terme, mais de simples prises de position qui ne peuvent s'imposer qu'en vertu de la décision d'un tribunal saisi par la voie de l'action (ATF 129 V 29 consid. 2.1.1, 115 V 228 consid. 2 et les arrêts cités). En matière de prévoyance professionnelle, le juge saisi d'une action n'a pas à se prononcer sur la validité d'une décision rendue par l'administration pour régler un rapport de droit avec un administré, mais sur l'existence ou l'étendue d'un droit ou d'une obligation dont l'une des parties prétend être titulaire contre le ou les autres.</w:t>
      </w:r>
    </w:p>
    <w:p>
      <w:r>
        <w:t>A/3058/2016 - 4/9 - L'objet du litige est donc déterminé par l'action introduite par une partie (maxime de disposition) et cas échéant par l'action reconventionnelle de la ou des parties défenderesses (ATF 129 V 452 consid. 3.2; Meyer-Blaser, Streitgegenstand im Streit - Erläuterungen zu BGE 125 V 413, in : Schaffhauser/Schlauri [édit.], Aktuelle Rechtsfragen der Sozialversicherungspraxis, St-Gall 2001, p. 9 ss, p. 38). En l'espèce, la procédure a été ouverte par la demande déposée par la Fondation FAR le 14 septembre 2016 et vise principalement à ce que la société soit condamnée à lui verser les cotisations LPP dues, parts salariale et employeur, pour les années 2008 à 2016. La chambre de céans est dès lors compétente.</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p 19). L'action déposée par la Fondation FAR est recevable.</w:t>
      </w:r>
    </w:p>
    <w:p>
      <w:r>
        <w:rPr>
          <w:b/>
        </w:rPr>
        <w:t>E. 3</w:t>
      </w:r>
    </w:p>
    <w:p>
      <w:r>
        <w:t>a) Afin de déterminer si la société peut être condamnée à verser à la Fondation FAR des cotisations LPP, il y a préalablement lieu d'examiner si elle est ou non assujettie à la CCT RA. La Fondation FAR, chargée de faire appliquer la CCT RA dans son intégralité, est compétente pour décider de l'assujettissement des entreprises à la CCT RA (art. 23 CCT RA). En l'occurrence, elle a conclu à l'assujettissement de la société à la CCT RA. b) La société a pour buts, selon le Registre du commerce, l’exploitation d’une entreprise générale de construction, tous travaux publics et de génie civil, la promotion immobilière, à l'exclusion de toutes opérations immobilières en Suisse, l’aménagement de parcs, jardins et propriétés, le commerce et la culture de plantes d'agrément ou d'ornement et travaux s'y rapportant. L’activité de la société s’exerce ainsi dans le domaine de la construction, ce qui permet de conclure à l’assujettissement à la CCT RA pour cette partie-ci, mais aussi dans le commerce et la culture de plantes d’agrément, par exemple, ce qui l’en exclut pour cette partie-là. Aussi doit-elle être qualifiée d’entreprise mixte. c) Il s'agit à ce stade, pour juger de l'assujettissement de la société à la CCT RA, de déterminer laquelle de ces activités est prépondérante, étant rappelé que, selon la jurisprudence, seule est déterminante l'activité réalisée concrètement par l'entreprise. Peu importent en conséquence les indications inscrites au Registre du commerce. La CCT RA est une convention de branches, applicable en principe à l'ensemble de l'entreprise, d'après le principe de l'unité tarifaire. Tel est le cas lorsque les secteurs</w:t>
      </w:r>
    </w:p>
    <w:p>
      <w:r>
        <w:t>A/3058/2016 - 5/9 - d'activités se recoupent. Il faut alors appliquer à tout le personnel la convention collective de la branche dans laquelle l'entreprise est principalement active (ATAS/123/2006). Lorsqu'il y a conflit entre deux conventions collectives de travail, une convention propre peut s'appliquer à une subdivision d'une même entreprise pour autant que cette subdivision soit autonome sur le plan organisationnel (ATF 4C.350/2000). Ainsi, deux ou plusieurs conventions collectives peuvent être applicables dans une même entreprise si celle-ci a des secteurs d'activités différents, clairement distincts à l'interne et à l'externe. En l'occurrence, il ressort de l’examen auquel a procédé la Fondation FAR que « l’entreprise ne distingue pas de secteurs. Ainsi les collaborateurs ne peuvent pas être clairement attribués à chaque secteur. Les secteurs fournissent normalement leurs prestations directement pour des tiers et pas à titre auxiliaire dans le cadre des autres activités de l’entreprise. À l’extérieur, on ne distingue pas de secteurs autonomes ». Rien au dossier ne permet de s’écarter de ces constatations. Dès lors, si l'assujettissement de la société à la CCT RA devait être confirmé, celui- ci porterait sur l'intégralité de l'entreprise. d) La chambre de céans constate qu’en principe la société ne saurait être soumise à la CCT RA, puisqu'elle n'est membre d'aucune des parties contractantes à la convention. Elle peut en revanche l'être en application de l'art. 2 al. 1 de l'arrêté du Conseil fédéral du 5 juin 2003, lequel a étendu les effets de cette convention à tout le territoire suisse, à l'exception du canton du Valais. L'extension est une décision par laquelle une convention collective, ou certaines de ses décisions seulement, est aussi rendue impérativement applicable à tous les employeurs et travailleurs qui appartiennent à la branche économique ou à la profession visée, mais qui ne sont pas liés par cette convention. La décision d'extension ne peut avoir pour effet d'étendre le champ d'application matériel personnel et géographique d'une convention collective ni de prolonger sa durée; elle peut en revanche être limitée à une partie seulement de son champ d'application matériel ou géographique ou être limitée dans le temps (art. 12 al. 2 de la loi fédérale permettant d'étendre le champ d'application de la convention collective de travail - LECCT). Une fois étendues, les clauses normatives d'une convention collectives s'appliquent directement et impérativement à tous les travailleurs et à tous les employeurs entrant dans le champ d'application de l'arrêté d'extension (art.</w:t>
      </w:r>
    </w:p>
    <w:p>
      <w:r>
        <w:rPr>
          <w:b/>
        </w:rPr>
        <w:t>E. 4</w:t>
      </w:r>
    </w:p>
    <w:p>
      <w:r>
        <w:t>Aux termes de l'art. 7 LPP : 1 Les salariés auxquels un même employeur verse un salaire annuel supérieur à 18’990 francs sont soumis à l’assurance obligatoire pour les risques de décès et d’invalidité dès le 1er janvier qui suit la date à laquelle ils ont eu 17 ans et, pour la vieillesse, dès le 1er janvier qui suit la date à laquelle ils ont eu 24 ans. 2 Est pris en considération le salaire déterminant au sens de la loi fédérale du 20 décembre 1946 sur l’assurance-vieillesse et survivants (LAVS). Le Conseil fédéral peut admettre des dérogations. Selon l'art. 6 al. 1 du règlement RA :</w:t>
      </w:r>
    </w:p>
    <w:p>
      <w:r>
        <w:t>A/3058/2016 - 7/9 - "les cotisations sont basées sur le salaire déterminant. Est considéré comme salaire déterminant le salaire soumis à l'AVS des travailleurs assujettis jusqu'au maximum LAA". La cotisation du travailleur correspond à 1% du salaire déterminant ; celle de l'employeur à 4% (art. 7 al. 1 et 8 du règlement RA). L'art. 9 du règlement RA précise les modalités de perception comme suit : L'employeur est redevable envers la Fondation FAR de la totalité des cotisations de l'employeur et des travailleurs. La masse salariale annuelle à la base du calcul des cotisations est déterminée par la déclaration de l'entreprise selon l'art. 6 al. 2. L'employeur est tenu d'annoncer immédiatement à la fondation des différences en cours d'année de plus de 10% de la masse salariale déclarée. Si l'entreprise ne déclare pas quelle est sa masse salariale, le secrétariat de la Fondation FAR est en droit de déterminer les cotisations exigibles et pas encore prescrites sur la base d'une estimation. L'employeur doit effectuer un versement par acomptes chaque trimestre, payable 30 jours après facturation, mais au plus tard à la fin de chaque trimestre. Est déterminante pour les paiements par acomptes la masse salariale servant de base à la facture définitive, respectivement la dernière déclaration de masse salariale selon l'al. 2. La fondation facture par sommation un montant de CHF 50.- ainsi qu'un intérêt moratoire de 5% dès l'exigibilité. Le conseil de fondation est habilité à convenir ou prévoir d'autres modalités de perception pour autant que celles-ci soient équivalentes.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 (ATF 127 V 390 consid. 5e/bb et les références), dans la mesure où un taux d’intérêt plus élevé n’a pas été convenu par contrat (art. 104 al. 1 et 2 CO). Selon l’art. 105 al. 3 CO, des intérêts ne peuvent être portés en compte pour cause de retard dans les intérêts moratoires (RSAS 2003 p. 500 consid. 6.1 ; ATFA du 26 août 2004 en la cause B 106/03).</w:t>
      </w:r>
    </w:p>
    <w:p>
      <w:r>
        <w:t>A/3058/2016 - 8/9 - L'art. 9 al. 4 du règlement RA prévoit un intérêt moratoire de 5% dès l'exigibilité. En conséquence, il convient de faire application de ce taux dès la mise en demeure de l’employeur et l’exigibilité de l’obligation.</w:t>
      </w:r>
    </w:p>
    <w:p>
      <w:r>
        <w:rPr>
          <w:b/>
        </w:rPr>
        <w:t>E. 5</w:t>
      </w:r>
    </w:p>
    <w:p>
      <w:r>
        <w:t>Du fait de son assujettissement à la CCT RA, la société est tenue de s'acquitter des cotisations, parts salariale et employeur, encore dues pour les années 2008 à 2014, conformément aux dispositions du règlement RA, ainsi que des intérêts moratoires (art. 9 al. 4 du règlement RA).</w:t>
      </w:r>
    </w:p>
    <w:p>
      <w:r>
        <w:rPr>
          <w:b/>
        </w:rPr>
        <w:t>E. 6</w:t>
      </w:r>
    </w:p>
    <w:p>
      <w:r>
        <w:t>En l’espèce, la Fondation FAR a réclamé à la société le paiement de la somme de CHF 17'735.45, représentant les cotisations définitives dues pour les années 2008 à 2014 et les frais selon un tableau figurant dans sa demande au ch. 26. La société a déclaré qu’elle contestait le décompte établi par la Fondation FAR, sans toutefois expliquer pourquoi. On ne comprend en particulier pas quels sont les montants contestés. Bien qu’elle ait été invitée à se déterminer, elle ne s’est pas manifestée. Or, selon l’art. 22 LPA, applicable en l’espèce (art. 1er cum 6 al. 1er let. b LPA), les parties sont tenues de collaborer à la constatation des faits dans les procédures qu’elles introduisent elles-mêmes, dans celles où elles y prennent des conclusions indépendantes, ainsi que dans les autres cas prévus par la loi. Force dès lors est de confirmer le montant de CHF 17'735.45, - au demeurant fixé par la Fondation FAR conformément aux dispositions légales et réglementaires applicables -, s’agissant des cotisations 2008 à 2014 dues par la société, étant précisé qu’il appartiendra à la Fondation FAR d’établir le montant des cotisations 2015 et 2016 et de les communiquer à la société. Il y a également lieu de confirmer le droit pour la Fondation FAR d’obtenir le remboursement des frais de sommation, à hauteur de CHF 879.90.</w:t>
      </w:r>
    </w:p>
    <w:p>
      <w:r>
        <w:rPr>
          <w:b/>
        </w:rPr>
        <w:t>E. 7</w:t>
      </w:r>
    </w:p>
    <w:p>
      <w:r>
        <w:t>Au vu de ce qui précède, la demande en paiement est admise.</w:t>
      </w:r>
    </w:p>
    <w:p>
      <w:r>
        <w:t>A/3058/2016 - 9/9 -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