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ATAS/41/2015 vom 23. Januar 2015</w:t>
      </w:r>
    </w:p>
    <w:p>
      <w:r>
        <w:t>GE Cour de justice, 2015-01-23, FR</w:t>
      </w:r>
    </w:p>
    <w:p>
      <w:r>
        <w:rPr>
          <w:b/>
        </w:rPr>
        <w:t xml:space="preserve">Quelle: </w:t>
      </w:r>
      <w:r>
        <w:t>https://mcp.opencaselaw.ch/entscheid/ge_gerichte_ATAS_41_2015</w:t>
      </w:r>
    </w:p>
    <w:p>
      <w:r>
        <w:t>FR: GE_GERICHTE ATAS/41/2015 du 23 janvier 2015</w:t>
      </w:r>
    </w:p>
    <w:p>
      <w:r>
        <w:t>IT: GE_GERICHTE ATAS/41/2015 del 23 gennaio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rPr>
          <w:b/>
        </w:rPr>
        <w:t>E. 4</w:t>
      </w:r>
    </w:p>
    <w:p>
      <w:r>
        <w:t>Le litige porte sur le droit de l’assurée à des prestations AI, et plus particulièrement sur son degré d’invalidité.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- 12/26-</w:t>
      </w:r>
    </w:p>
    <w:p>
      <w:r>
        <w:t>A/797/2014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w:t>
      </w:r>
    </w:p>
    <w:p>
      <w:r>
        <w:t>- 13/26-</w:t>
      </w:r>
    </w:p>
    <w:p>
      <w:r>
        <w:t>A/797/2014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- 14/26-</w:t>
      </w:r>
    </w:p>
    <w:p>
      <w:r>
        <w:t>A/797/2014 ainsi que l'allégation de lourds handicaps malgré un environnement psychosocial intact (ATF 131 V 49, consid. 1.2).</w:t>
      </w:r>
    </w:p>
    <w:p>
      <w:r>
        <w:rPr>
          <w:b/>
        </w:rPr>
        <w:t>E. 8</w:t>
      </w:r>
    </w:p>
    <w:p>
      <w:r>
        <w:t>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w:t>
      </w:r>
    </w:p>
    <w:p>
      <w:r>
        <w:rPr>
          <w:b/>
        </w:rPr>
        <w:t>E. 9</w:t>
      </w:r>
    </w:p>
    <w:p>
      <w:r>
        <w:t>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w:t>
      </w:r>
    </w:p>
    <w:p>
      <w:r>
        <w:t>- 15/26-</w:t>
      </w:r>
    </w:p>
    <w:p>
      <w:r>
        <w:t>A/797/2014 qui a valeur de maladie (ATF 124 V 265 consid. 3c p. 268 ; ATF non publié 9C_395/2007 du 15 avril 2008, consid. 2.2). En tant qu'elle n'est ni la cause, ni la conséquence d'une atteinte à la santé physique ou psychique ayant valeur de maladie, la dépendance constitue une affection primaire non constitutive d'invalidité (ATF non publié 9C_219/07 du 3 avril 2008, consid. 3).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(ATFA non publié I 169/06 du 8 août 2006, consid. 2.2 et les références ; arrêts du Tribunal fédéral 9C_960/2009 du 24 février 2010 consid. 2.2; 9C_395/2007 du 15 avril 2008 consid. 2.2 ; sur l'ensemble de la question, cf. arrêt I 169/06 du 8 août 2006, consid. 2.2 et les arrêts cités ; ATF 9C_72/12).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 I 731/02 du 25 juillet 2003, consid. 2.3).</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w:t>
      </w:r>
    </w:p>
    <w:p>
      <w:r>
        <w:t>- 16/26-</w:t>
      </w:r>
    </w:p>
    <w:p>
      <w:r>
        <w:t>A/797/2014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 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w:t>
      </w:r>
    </w:p>
    <w:p>
      <w:r>
        <w:t>- 17/26-</w:t>
      </w:r>
    </w:p>
    <w:p>
      <w:r>
        <w:t>A/797/2014 travail, ceci pour éviter que le recourant soit tenté d'influencer à son profit, le degré de son invalidité (ATF 106 V 86 consid. 2 p. 87).</w:t>
      </w:r>
    </w:p>
    <w:p>
      <w:r>
        <w:rPr>
          <w:b/>
        </w:rPr>
        <w:t>E. 12</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13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t>- 18/26-</w:t>
      </w:r>
    </w:p>
    <w:p>
      <w:r>
        <w:t>A/797/2014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14</w:t>
      </w:r>
    </w:p>
    <w:p>
      <w:r>
        <w:t>En l’espèce, l’OAI a nié le droit de l’assurée à des prestations AI, considérant, sur la base de l’expertise réalisée par des médecins de la CRR le 30 septembre 2013, qu’elle présentait une capacité de travail entière dans toute activité.</w:t>
      </w:r>
    </w:p>
    <w:p>
      <w:r>
        <w:rPr>
          <w:b/>
        </w:rPr>
        <w:t>E. 15</w:t>
      </w:r>
    </w:p>
    <w:p>
      <w:r>
        <w:t>Il s’agit préalablement de déterminer si l’expertise des Drs F______, G______ et H______, de la CRR, datée du 30 septembre 2013, a ou non valeur probante. a) Le Dr E______, dans son rapport du 20 juillet 2012, indique que l’assurée souffre d’ostéoporose et de troubles du rachis et des genoux, de sorte qu’elle ne peut exercer aucune activité lucrative où elle devrait être accroupie, à genoux, soulever et porter des charges, monter sur une échelle, un échafaudage ou des escaliers. L’expert rhumatologique ne mentionne pas ces diagnostics et ne fait état d’aucune limitation fonctionnelle. Il se borne à poser à titre de diagnostics sans répercussion sur la capacité de travail, celui d’état douloureux chronique diffus s’accompagnant de cervicalgies, de possible syndrome rotulien droit et d’ostéopénie, étant précisé que les documents d’imagerie ne permettaient pas d’objectiver une quelconque lésion spécifique dans ce cadre. Aussi les experts n’ont-ils retenu aucun diagnostic ayant une influence sur la capacité de travail sur le plan somatique, et indiqué que l’assurée souffrait d’un trouble somatoforme douloureux. Ils ont toutefois écarté la</w:t>
      </w:r>
    </w:p>
    <w:p>
      <w:r>
        <w:t>- 19/26-</w:t>
      </w:r>
    </w:p>
    <w:p>
      <w:r>
        <w:t>A/797/2014 présence d’une comorbidité psychiatrique grave et considéré que les critères jurisprudentiels, soit une perte totale d’intégration sociale, une absence de rémission désespérante malgré un traitement adapté, et un état psychique cristallisé, n’étaient pas présents et ont dès lors conclu au caractère non invalidant de ce trouble. b) Selon le Dr D______, l’assurée souffre d’un trouble dépressif récurrent actuellement d’intensité moyenne, d’un trouble hypocondriaque, d’agoraphobie et d’un trouble de la personnalité émotionnelle labile de type borderline ou d’un trouble de la personnalité anxieuse ou évitante avec des traits dépendants. Les experts n’ont pas retenu d’état dépressif caractérisé, au motif que la dépression chronique diagnostiquée par le Dr D______ n’avait jamais nécessité une hospitalisation, ni même un traitement médicamenteux très consistant, ni en général un suivi spécialisé, le médecin traitant se contentant d’une psychothérapie de soutien. Ils ont expressément exclu le diagnostic d’agoraphobie, au motif que « les accès anxieux que l’assurée décrit n’ont pas l’intensité paroxystique d’une attaque de panique ». Quant au trouble de la personnalité anxieuse ou évitante, ils ont rappelé que dans son rapport du 15 décembre 2010, le Dr D______ faisait état d’un trouble de la personnalité émotionnellement labile type borderline depuis l’adolescence, mais ne reprenait pas ce diagnostic dans son courrier du 4 novembre 2011, le remplaçant par celui de trouble de la personnalité anxieuse ou évitante. Les experts ont ainsi nié le bien-fondé des diagnostics posés par le Dr D______. Ils considèrent quant à eux que l’assurée ne présente pas un trouble de la personnalité de dimension morbide, et concluent à une toxicodépendance primaire ne constituant pas en soi une invalidité. L’expert psychiatre constate toutefois que « la toxicomanie présente depuis l’adolescence et la vie un peu marginale qu’elle a menée, posent la question d’un trouble de la personnalité. Toutefois, ni l’anamnèse, ni l’observation, n’amènent d’élément attestant de perturbations sévères au niveau de la constitution caractérologique et des tendances comportementales. La perception de soi et d’autrui, le mode de pensée, l’affectivité et la façon d’entrer en relation et de gérer les relations interpersonnelles ne comportent pas chez elle un caractère déviant, notamment des normes socio-culturelles, et entraînant inévitablement des difficultés personnelles et sociales considérables. (…) Seul le contrôle des impulsions et la satisfaction des besoins apparaît très perturbé, ce qui contribue à décrire la toxicomanie et qui ne suffit pas à définir un trouble de la personnalité. Cependant, si les réquisits diagnostiques pour un trouble de la</w:t>
      </w:r>
    </w:p>
    <w:p>
      <w:r>
        <w:t>- 20/26-</w:t>
      </w:r>
    </w:p>
    <w:p>
      <w:r>
        <w:t>A/797/2014 personnalité ne sont pas satisfaits dans ce cas, on peut admettre qu’il existe chez elle des traits accentués de la personnalité qui, sans franchir le seuil pathologique, peuvent néanmoins contribuer à la mettre en difficulté au niveau de social et donc professionnel. (…) Même s’il est difficile d’établir avec certitude un diagnostic de personnalité sur un aussi court laps de temps et avec des informations biographiques lacunaires, il est possible de dire que l’assurée ne présente pas en dehors de la toxicomanie, un trouble sévère et décompensé qui seul pourrait entrer en ligne de compte au niveau des questions posées ». Ainsi, quand bien même il estime que la capacité de travail est entière, quelle que soit l’activité envisagée, il reconnait que les troubles dont l’assurée souffre peuvent contribuer à la mettre en difficulté au niveau du social et donc professionnel, soulignant qu’« une reprise d’activité professionnelle au niveau du secteur économique paraît aujourd’hui assez illusoire ». Il conclut par ailleurs à un pronostic réservé. Selon l’expert, le fait que le contrôle des impulsions et la satisfaction des besoins apparaisse très perturbé ne suffit pas à définir un trouble de la personnalité. Cependant, il admet qu’il existe chez l’assurée des traits accentués de la personnalité qui, sans franchir le seuil pathologique, peuvent néanmoins contribuer à la mettre en difficulté au niveau du social et donc professionnel. L’expert psychiatre a qualifié la toxicodépendance de primaire, au motif qu’« on ne retrouve aucun trouble psychiatrique grave pour lequel on puisse considérer que le syndrome de dépendance observé en est une conséquence induite ». Il n’a toutefois pas expliqué pourquoi il arrive à cette conclusion. Il se contente en effet d’indiquer que « nous ne retrouvons pas chez l’assurée un trouble de la personnalité de dimension morbide qui seul pourrait être pris en compte dans cette discussion. Nous relevons donc que dans ce cas, on ne retrouve aucun trouble psychiatrique grave pour lequel on puisse considérer que le syndrome de dépendance observé en est une conséquence induite. Dans ce cas, la consommation de ces substances multiples qui a conduit à un syndrome de dépendance (toxicomanie) doit donc être considérée comme primaire ». Or, il admet qu’un abus de substances psychoactives est souvent partie de l'expression du trouble borderline, mentionné par le Dr D______. La chambre de céans constate ainsi plusieurs incohérences dans ses propos. La chambre de céans peine par ailleurs à comprendre le terme de « singularité » donné à des abus sexuels subis pendant l’enfance et au profond rejet du père. L’expert n’explique pas de façon convaincante pourquoi la toxicomanie de l’assurée ne devrait pas être considérée comme secondaire et non primaire.</w:t>
      </w:r>
    </w:p>
    <w:p>
      <w:r>
        <w:t>- 21/26-</w:t>
      </w:r>
    </w:p>
    <w:p>
      <w:r>
        <w:t>A/797/2014 Force est de constater, au vu de ce qui précède, que l’expert reconnaît qu’il s’agit d’un cas limite, qu’il est difficile d’établir avec certitude un diagnostic de personnalité sur un aussi court laps de temps et avec des informations biographiques lacunaires, mais écarte tous les diagnostics posés par le Dr D______ et ne discute notamment pas la question de savoir si la toxicomanie n’aurait pas été favorisée par la vulnérabilité psychique présentée dès l’enfance au vu des violences subies (ATAS/1190/2011), de sorte qu’on ne sait finalement pas ce qu’il en est. c) Il y a enfin lieu de relever que l’examen neuropsychologique a montré des difficultés cognitives légères, dans le domaine du calcul et de l’écriture, un ralentissement affectant spécifiquement l’aspect lexical, et un léger déficit de mémoire verbale. Selon la Dresse I______ : « Si l’on ne peut exclure que ces déficits soient la conséquence de l’abus antérieur de drogues dures, la dyscalculie et la dysorthographie évoqueraient plutôt une origine développementale ce que corroborent les difficultés scolaires signalées par l’assurée. Quoi qu’il en soit, ils ne renforcent pas l’hypothèse d’un trouble cognitif secondaire à la dépression. Par ailleurs, ils seraient susceptibles de limiter l’accès de l’assurée à certaines formations professionnelles, mais seraient sans impact dans une activité simple ». La chambre de céans considère, au vu de ce qui précède, que la cause n’est pas en état d’être jugée.</w:t>
      </w:r>
    </w:p>
    <w:p>
      <w:r>
        <w:rPr>
          <w:b/>
        </w:rPr>
        <w:t>E. 16</w:t>
      </w:r>
    </w:p>
    <w:p>
      <w:r>
        <w:t>Déterminer si la polytoxicomanie est la conséquence d’une atteinte à la santé physique ou mentale ayant valeur de maladie ou si elle a provoqué une atteinte à la santé invalidante (dépendance primaire ou secondaire ?).</w:t>
      </w:r>
    </w:p>
    <w:p>
      <w:r>
        <w:rPr>
          <w:b/>
        </w:rPr>
        <w:t>E. 17</w:t>
      </w:r>
    </w:p>
    <w:p>
      <w:r>
        <w:t>Apprécier et commenter les conclusions des Drs G______ et D______, ainsi que celles du SMR du 29 octobre 2013.</w:t>
      </w:r>
    </w:p>
    <w:p>
      <w:r>
        <w:rPr>
          <w:b/>
        </w:rPr>
        <w:t>E. 18</w:t>
      </w:r>
    </w:p>
    <w:p>
      <w:r>
        <w:t>Formuler un pronostic global, toute remarque utile ou proposition. 3. Commet à ces fins le Dr L______ ;</w:t>
      </w:r>
    </w:p>
    <w:p>
      <w:r>
        <w:t>- 26/26-</w:t>
      </w:r>
    </w:p>
    <w:p>
      <w:r>
        <w:t>A/797/2014 4. Invite l’expert à déposer à sa meilleure convenance un rapport en trois exemplaires à la chambre de céans ; 5. Réserve le fond ;</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