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ATAS/41/2011 vom 18. Januar 2011</w:t>
      </w:r>
    </w:p>
    <w:p>
      <w:r>
        <w:t>GE Cour de justice, 2011-01-18, FR</w:t>
      </w:r>
    </w:p>
    <w:p>
      <w:r>
        <w:rPr>
          <w:b/>
        </w:rPr>
        <w:t xml:space="preserve">Quelle: </w:t>
      </w:r>
      <w:r>
        <w:t>https://mcp.opencaselaw.ch/entscheid/ge_gerichte_ATAS_41_2011</w:t>
      </w:r>
    </w:p>
    <w:p>
      <w:r>
        <w:t>FR: GE_GERICHTE ATAS/41/2011 du 18 janvier 2011</w:t>
      </w:r>
    </w:p>
    <w:p>
      <w:r>
        <w:t>IT: GE_GERICHTE ATAS/41/2011 del 18 gennaio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la demande de révision est postérieure au 1er janvier 2003 (cf. ATF 130 V 446 ss consid. 1, 129 V 4 consid. 1.2). Les</w:t>
      </w:r>
    </w:p>
    <w:p>
      <w:r>
        <w:t>A/2170/2010 - 15/28 -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w:t>
      </w:r>
    </w:p>
    <w:p>
      <w:r>
        <w:rPr>
          <w:b/>
        </w:rPr>
        <w:t>E. 3</w:t>
      </w:r>
    </w:p>
    <w:p>
      <w:r>
        <w:t>Interjeté en temps utile, le présent recours est recevable (art. 39 al. 1 et 60 al. 2 LPGA).</w:t>
      </w:r>
    </w:p>
    <w:p>
      <w:r>
        <w:rPr>
          <w:b/>
        </w:rPr>
        <w:t>E. 4</w:t>
      </w:r>
    </w:p>
    <w:p>
      <w:r>
        <w:t>La question litigieuse est celle de savoir si c'est à bon droit que l'intimé a supprimé la demi-rente octroyée au recourant par décision du 24 avril 2001, avec effet rétroactif au 23 octobre 1995. C’est le lieu de préciser que le recourant renonce à une rente d’invalidité entière.</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Dans un premier temps, le recourant invoque l’autorité de la chose jugée de l’arrêt du Tribunal de céans du 4 décembre 2007 pour s’opposer à la suppression de sa demi-rente d’invalidité. En effet, il considère que l’intimée aurait dû demander la révision de l’arrêt précité, au lieu de réviser sa décision, ce d’autant moins que la</w:t>
      </w:r>
    </w:p>
    <w:p>
      <w:r>
        <w:t>A/2170/2010 - 16/28 - cause lui avait été renvoyée pour instruction complémentaire sur la seule question de l’aggravation de son état de santé. Il y a autorité de chose jugée, du point de vue matériel, lorsque le litige a le même objet que celui sur lequel s'est déjà prononcé l'autorité judiciaire par un jugement passé en force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Les décisions revêtues de l'autorité de chose jugée peuvent à certaines conditions être modifiées. Tout d'abord, une décision peut être révisée en raison d'un changement des circonstances. C'est ainsi que selon l'art. 17 LPGA, si le degré d'invalidité du bénéficiaire de la rente subit une modification déterminante, la rente est, pour l'avenir, augmentée ou réduite proportionnellement, ou supprimée (arrêt du Tribunal administratif fédéral C-3120/2006 du 27 février 2008). Dès lors que l'office AI entre en matière sur la demande de révision, celui-ci doit examiner l'affaire au fond et vérifier que la modification du degré d'invalidité ou de l'impotence rendue plausible par l'assuré est réellement intervenue. L'office AI n'est cependant pas lié par les conclusions de l'assuré; il est soumis à la maxime inquisitoire et doit appliquer le droit d'office. Si, après avoir procédé aux mesures d'instruction nécessaires, l'office AI constate que l'état de santé s'est amélioré notablement ou que ces conséquences sur la capacité de gain ont subi un changement important, il lui appartient de réduire, voire, le cas échéant, de supprimer le droit à la rente (ATFA non publié I 755/04 du 25 septembre 2006, consid. 4.1). En l'occurrence, l’arrêt du 4 décembre 2007 est entré en force, faute de recours. Le droit du recourant à une demi-rente a dès lors été admis et confirmé, de manière définitive et a acquis l’autorité de chose jugée. Seule peut donc entrer en considération une demande de révision (art. 17 ou 53 al. 1 LPGA) ou de reconsidération (art. 53 al. 2 LPGA). L’argument du recourant, selon lequel l’intimée devait requérir la révision de l’arrêt du 4 décembre 2007 ne saurait au vu de ce qui précède être retenu, dès lors que la révision de la décision au sens de l’art. 17 LPGA est envisageable, sur la base de l'expertise du 24 septembre 2009.</w:t>
      </w:r>
    </w:p>
    <w:p>
      <w:r>
        <w:t>A/2170/2010 - 17/28 -</w:t>
      </w:r>
    </w:p>
    <w:p>
      <w:r>
        <w:rPr>
          <w:b/>
        </w:rPr>
        <w:t>E. 7</w:t>
      </w:r>
    </w:p>
    <w:p>
      <w:r>
        <w:t>Il convient donc de déterminer si l’intimée pouvait réviser la rente en application de l’art. 17 LPGA. a)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Pour qu'une décision de révision constitue elle aussi une (nouvelle) base de comparaison dans le cadre d'une autre révision, il faut qu'elle porte sur l'adaptation effective du droit à la rente en cours au taux d'invalidité nouvellement déterminé, et non qu'elle se borne à confirmer la décision initiale (ATF 109 V 265 consid. 4a; voir aussi ATF 130 V 75 consid. 3.2.3).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w:t>
      </w:r>
    </w:p>
    <w:p>
      <w:r>
        <w:t>A/2170/2010 - 18/28 -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en revanche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b) 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les expertises produites par une partie ainsi que les expertises médicales ordonnées par le juge (VSI 1997, p. 318, consid. 3b ; BLANC, La procédure administrative en assurance-invalidité, thèse Fribourg 1999, p. 142).</w:t>
      </w:r>
    </w:p>
    <w:p>
      <w:r>
        <w:t>A/2170/2010 - 19/28 -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w:t>
      </w:r>
    </w:p>
    <w:p>
      <w:r>
        <w:t>A/2170/2010 - 20/28 -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En l’espèce, il s’agit donc de déterminer si l’état de santé du recourant s’est amélioré entre la décision initiale du 24 avril 2001 et la décision querellée du 20 mai 2010. a) Lors de la décision initiale du 24 avril 2001, les diagnostics suivants avaient été posés : − Sur le plan rhumatologique : rachialgies chroniques dans le cadre de troubles statiques et dégénératifs discrets du rachis, rhumatisme psychogène, douleurs de l’épaule droite avec calcification du sus-épineux, dysthymie dans le cadre de troubles de la personnalité émotionnellement labile et à trait impulsif et hypercholestérolémie (expertise rhumatologique du 9 septembre 1999). Ces diagnostics ne justifiaient toutefois pas d’incapacité de travail dans la dernière activité de nettoyeur et d’homme à tout faire de l’assuré ni dans l’activité occupationnelle trouvée par le chômage. − Sur le plan psychique : trouble douloureux somatoforme persistant (F45.5, F45.38) et état dépressif réactionnel (expertise psychiatrique du 18 août 2000). L’importance des douleurs et la dépression qui s’y rattachait diminuaient la capacité de travail d’au moins 50%. Selon le questionnaire complémentaire du 4 septembre 2000, les critères suivants étaient réalisés : des troubles de la personnalité, des traits prémorbides, une comorbidité psychiatrique, une perte d’intégration sociale, le caractère chronique de la maladie sans rémission durable, une durée de plusieurs années de la maladie avec des symptômes stables ou en évolution, l’échec de traitements conformes aux règles de l’art et un cadre psychosocial perturbé. Par contre, les autres critères prévus par l’arrêt I 554/98 du 19 janvier 2000 (VSI</w:t>
      </w:r>
    </w:p>
    <w:p>
      <w:r>
        <w:t>A/2170/2010 - 21/28 - 2000 p. 152) n’étaient pas remplis. L’intensité du trouble somatoforme douloureux était qualifiée de sévère et la reprise d’une activité lucrative à temps partielle raisonnablement exigible. b) En 2007, les diagnostics ressortant des diverses pièces médicales étaient les suivants : − Sur le plan somatique : fibromyalgie (rapport du Dr C__________ du 21 novembre 2003) ; fissure chronique avec marisque distale rétentionnelle et spasme du sphincter interne (rapport opératoire du 19 janvier 2005), persistance d’une fissure avec une poche sous-fissuraire et d’un trajet fistuleux borgne et spasme du spincter interne (rapport opératoire du 20 mai 2005), poche sous- fissuraire (rapport opératoire du 3 mai 2006); état après sphinctérotomie interne et excision d’une poche sous-fissuraire (rapport opératoire du 20 septembre 2006) ; signes évocateurs d’une tendinopathie de la coiffe des rotateurs avec épisode de tendinite du sus-épineux (rapport d’arthro IRM du 29 août 2005) ; petite hernie discale intraforaminale au niveau L4-L5 à droite, refoulant et comprimant vraisemblablement le ganglion sensitif de la racine L4 (rapport d’IRM lombaire du 22 septembre 2006). − Sur le plan psychique : trouble dépressif récurrent, épisode actuel sévère, sans symptôme psychotique et syndrome douloureux somatoforme persistant (rapports des 20 mai 2005 et 9 juin 2005, Clinique de Montana) ; état dépressif sévère (rapport du Dr D__________ du 4 novembre 2005) ; trouble dépressif récurrent, épisode actuel moyen, sans syndrome somatique (rapport des HUG du 29 juin 2006). De son côté, la Dresse F__________ a retenu, dans son rapport du 24 février 2004, un syndrome douloureux somatoforme persistant (F 45.4), sans répercussion sur la capacité de travail, et dans son rapport du 27 février 2007, des épisodes récurrents de répression réactionnelle, actuellement en rémission partielle (F33.4) et un syndrome douloureux somatoforme persistant (F 45.4). Dans son arrêt du 4 décembre 2007, le Tribunal de céans avait considéré que ces rapports disposaient d’une valeur probante affaiblie. c) Enfin, en 2009, les diagnostics posés dans l’expertise du 24 avril 2009 étaient les suivants : − Sur le plan somatique : possible tendinopathie de la coiffe des rotateurs de l’épaule gauche et tendinopathie calcifiante de l’épaule droite, troubles dégénératifs du rachis lombaire sous forme de discopathies avec une hernie discale en L4-L5, douleurs anales depuis 2005 ; − Sur le plan psychique : syndrome douloureux somatoforme persistant sans comorbidité psychiatrique (F 45.4).</w:t>
      </w:r>
    </w:p>
    <w:p>
      <w:r>
        <w:t>A/2170/2010 - 22/28 - Il s’agit donc de déterminer si cette expertise est suffisamment crédible pour que ses conclusions puissent être suivies sans que le Tribunal de céans n’ait de doutes sur la solution adoptée. S’il répond certes à plusieurs réquisits jurisprudentiels, le rapport du 24 avril 2009 est toutefois contradictoire voire incomplet. En effet : − Les experts résument, en page 12, les déclarations du recourant relatives à la tendinite de l’épaule constatée en 2006. Selon ses déclarations, il a bénéficié d’une infiltration à l’épaule gauche et a participé à plusieurs séances de mésothérapie puis de physiothérapie. Quelques pages plus loin, en page 19, ces mêmes experts retiennent que le recourant a bénéficié d’une infiltration au niveau de l’épaule gauche. En guise de conclusion, ils ont considéré qu’« il n’y a pas d’investigation ou traitement important faisant penser que la problématique de cette épaule serait invalidante », ce qui est en contradiction avec les déclarations du recourant. − Selon les indications de ce dernier, il a subi une cinquième intervention en lien avec ses problèmes anaux et se prépare à la sixième (page 12 de l’expertise). Or, seuls quatre rapports opératoires liés à la poche fissuraire figurent au dossier, qui est par conséquent lacunaire et qui n’a de manière surprenante pas été complété par les experts. Le Tribunal de céans s’étonne également que le gastro-entérologue ne retienne aucune lésion spécifique alors qu’une sixième intervention, portant sur un névrome, semblait être prévue aux dires du recourant et que sachant cela, il n’a pas interrogé le médecin traitant sur les raisons de cette intervention. − En page 13, les experts indiquent que, selon les indications du recourant, celui- ci prendrait les médicaments suivants : Zyprexa, Lithiofor, Brufen, Tramal, Dafalgan, Nexium, Lalugen Plus pommade, Siurdalud, Condrosulf, Metamucil et Efexor. Selon le monitoring médicamenteux, le recourant est compliant. Le taux de lithium est toutefois légèrement en-dessous de la norme au contraire de l’Efexor, qui est légèrement en-dessus. En d’autres termes, le recourant prend des doses de Lithiofor (principe actif : lithium) légèrement au-dessous de la norme et de l’Efexor (principe actif : venlafexine ; métabolite : déméthylvenlaflaxine) légèrement au-dessus. Or, le Lithiofor est utilisé pour le traitement des phases aigues et en prophylaxie à long terme de la maladie maniaco-dépressive ou en co-médication aux antidépresseurs en cas de dépression grave réfractaire aux traitements habituels. Quant à l’Efexor, il est employé pour le traitement de toutes les formes de dépression. (voir compendium suisse des médicaments).</w:t>
      </w:r>
    </w:p>
    <w:p>
      <w:r>
        <w:t>A/2170/2010 - 23/28 - Compte tenu des traces d’antidépresseurs, trouvées dans le sang du recourant, qui est compliant, le Tribunal de céans peine à comprendre comment l’expert psychiatre n’a pu retenir qu’un état dysthymique réactionnel à la situation physique, qu’il n’a, au demeurant, même pas mentionné en tant que diagnostic. Il n’a pas non plus jugé nécessaire de discuter de l’assuré avec son psychiatre traitant, le Dr D__________, et ne peut dès lors être en mesure de se prononcer sur l’évolution de l’état de santé du patient depuis 2006. − En outre, en page 17 du rapport, les experts indiquent que tous les points algiques à la palpation, typiques d’une fibromyalgie, ont été déclarés douloureux. Pourtant, sans explications, les experts retiennent un trouble somatoforme douloureux persistant, qu’ils qualifient de non invalidant, les critères de Mosimann n’étant pas réalisés avec une intensité suffisante, et non une fibromyalgie. Or, la fibromyalgie et les troubles somatoformes douloureux ne sont pas des troubles identiques. En effet, le diagnostic de fibromyalgie est posé si 11 des 18 points de Smythe sont mentionnés comme douloureux (BURGAT, la fibromyalgie, p. 73 n : L'expertise médicale, éditions Médecine &amp; Hygiène, 2002) alors que le trouble somatoforme douloureux est un diagnostic posé par exclusion lorsque la malade ressent des douleurs diffuses qui ne se limitent pas aux points de Smythe (voir ATAS/563/2009 du 7 mai 2009, consid. 9). Par ailleurs, se prononçant sur le caractère invalidant du trouble somatoforme douloureux, les experts ont procédé à une appréciation juridique de l’incapacité de travail du recourant. Or, selon la doctrine (François PAYCHERE, Le juge et l'expert, L'expertise médicale, 2002, Genève, p. 147), l'expert doit s'interdire de répondre à toute question juridique. Cette appréciation n’est en outre pas conforme à la jurisprudence applicable au cas du recourant. En effet, les critères établis par la jurisprudence du Tribunal fédéral et publiés à l'ATF 130 V 352, soit en 2004 et donc après la décision initiale du 21 avril 2001, pour apprécier le caractère invalidant du trouble somatoforme douloureux ne sont pas à prendre en considération in casu dès lors qu’un changement de jurisprudence ne constitue pas un motif suffisant pour révoquer des rentes allouées à une époque antérieure par des décisions entrées en force formelle (ATF 135 V 215 consid. 6 p. 225 ss.; 135 V 201). − Les experts se sont contentés d’un rapport d’IRM lombaire datant du 22 septembre 2006, mettant en évidence une petite hernie discale au niveau L4-L5 à droite, refoulant et comprimant vraisemblablement le ganglion sensitif de la racine L4 dans le même foramen intervertébral. Alors même que le recourant a mentionné des douleurs lombo-fessières des deux côtés, les experts n’ont pas jugé nécessaire d’effectuer d’investigations complémentaires mais ont</w:t>
      </w:r>
    </w:p>
    <w:p>
      <w:r>
        <w:t>A/2170/2010 - 24/28 - simplement retenu que les troubles dégénératifs du rachis, et notamment la discopathie en L4-L5, ne jouaient aucun rôle prépondérant dans cette situation. Or, les examens, notamment sous forme de radiographies, des zones présentant des problèmes doivent être refaits lorsque les images en possession de l’expert datent de plus de six mois (voir les Lignes directrices de la Société suisse de rhumatologie pour l'expertise médicale des maladies rhumatismales et des séquelles rhumatismales d'accident, ch. 3.4, in Bulletin des médecins suisses 88/2007 p. 736 et ss). − Le recourant a informé les experts qu’il prenait notamment du Brufen, 600mg (une à quatre fois par jour), du Tramal (10 à 20 gouttes selon l’intensité des douleurs) qu’il évite toutefois en raison de la constipation que cela entraîne, du Dafalgan 1g ( une à quatre fois par jour, selon les douleurs). Toutefois, les experts n’ont pas procédé à un monitoring médicamenteux pour déterminer le taux d’antidouleurs dans le sang du recourant. − Enfin, selon la mission d’expertise de l’OAI, les experts devaient se prononcer sur l’évolution de l’état de santé du recourant depuis 2003. Cependant, il ne ressort nullement de leur rapport que tel a été leur procédé. En effet, à part une brève phrase d’introduction, ils ne se prononcent nullement sur l’évolution de l’état de santé du recourant. Pour toutes ces raisons, le Tribunal de céans considère que le rapport du 24 avril 2009 ne revêt pas une valeur probante suffisante pour que ses conclusions puissent être suivies. d) Force est ainsi de constater, au vu des pièces du dossier, que l’intimé ne disposait d’aucun élément permettant de considérer que l’état de santé du recourant s’était amélioré depuis avril 2001 de sorte qu’il n’y a pas de motif de révision de ce fait.</w:t>
      </w:r>
    </w:p>
    <w:p>
      <w:r>
        <w:rPr>
          <w:b/>
        </w:rPr>
        <w:t>E. 10</w:t>
      </w:r>
    </w:p>
    <w:p>
      <w:r>
        <w:t>Il sied encore d’examiner si le rapport des EPI, établi à l’issue du stage d’observation professionnelle, pourrait suppléer cette absence de rapport médical probant. a) Les organes d'observation professionnelle ont pour fonction de compléter les données médicales en examinant concrètement dans quelle mesure l'assuré est à même de mettre en valeur une capacité de travail et de gain sur le marché du travail (voir, à propos du rôle des COPAI pour l'évaluation de l'invalidité : L'instruction des possibilités de gain des personnes prétendant une rente, compte-rendu d'une séance du 10 novembre 1989 consacrée aux problèmes de l'expertise médicale et professionnelle, in : RCC 1990 p. 59 ss; Karl Abegg, Coup d'oeil sur l'activité des centres d'observation professionnelle de l'AI [COPAI], in : RCC 1985 p. 246 ss). En particulier, lorsque l'appréciation d'un COPAI diverge sensiblement de celle des médecins d'un COMAI, il incombe à l'administration ou, en cas de recours, au juge de confronter les deux appréciations, au besoin en requérant un complément</w:t>
      </w:r>
    </w:p>
    <w:p>
      <w:r>
        <w:t>A/2170/2010 - 25/28 - d'instruction de la part du COPAI ou du COMAI (consid. 4.3, publié dans Plädoyer 2004/3 p. 64, de l'arrêt G. du 24 octobre 2003, I 35/03). Dans un arrêt I 737/2005 du 22 août 2005, le Tribunal fédéral des assurances a été amené à traiter du cas d’un assuré, concernant lequel l’office disposait de plusieurs rapports médicaux, incomplets ou insuffisamment probants pour juger de sa capacité de travail. A cela s’ajoutait un rapport d’observation professionnelle, dont il ressortait que l’assuré présentait une pleine capacité de travail dans des activités légères, limitant l’usage de son épaule gauche. L’évaluation de la capacité de travail de l’assuré était toutefois théorique en raison du manque d’engagement et du faible rendement dans les activités effectuées dû à un manque de motivation ainsi qu’à des refus et non à des atteintes à la santé. Dans ce cas, le Tribunal fédéral des assurances a considéré qu’en présence de rapports médicaux qui n’étaient pas complets ou probants pour juger de la capacité de travail, le rapport des organes d’observation professionnelle ne fournissait pas les éléments complémentaires nécessaires pour juger cette même capacité de travail. En effet, les organes d’observations professionnelle avaient pour fonction de compléter les données médicales et non de se substituer à elles. Par ailleurs, en l’absence d’avis médical sur les troubles dont se plaignait l’assuré, les maîtres de réadaptation n’avaient procédé qu’à une évaluation théorique de la capacité de travail de l’assuré. b) La présente cause présente des ressemblances avec celle ayant fait l’objet de l’arrêt du 22 août 2005 précité. En effet, comme dans la cause précitée, l’OAI disposait d’une expertise médicale, celle du CEMED du 24 avril 2009, que le Tribunal de céans a estimée incomplète et non probante pour juger de la capacité de travail du recourant. En outre, au dossier de l’OAI figurait également le rapport des EPI, à teneur duquel « les capacités [du recourant étaient] théoriquement compatibles avec une activité pratique à plein temps, en position assise ou debout, de préférence sans contact avec la clientèle ». Les maîtres de réadaptation avaient également relevé le peu de dynamisme chez l’assuré, qui était convaincu de ne pas pouvoir reprendre d’activités et que son état de santé ne lui permettrait aucun engagement ce d’autant plus avec cette longue interruption professionnelle d’une quinzaine d’années. Ainsi, conformément aux principes dégagés à l’arrêt I 737/2005, le rapport des EPI du 23 février 2010 ne peut fournir les éléments complémentaires nécessaires pour juger de la capacité de travail du recourant et déterminer si celle-ci s’est améliorée. En effet, le rapport des EPI ne complète aucune constatation médicale probante et les maîtres de réadaptation n’ont fait que procéder à une appréciation théorique de la capacité de travail du recourant. C’est le lieu de rappeler la révision au sens de l'art. 17 LPGA ne saurait fonder une nouvelle évaluation inconditionnelle du droit à la rente (ATF 112 V 372 consid. 2b et 376 consid. 4; Meyer-Blaser, Bundesgesetz über die Invalidenversicherung</w:t>
      </w:r>
    </w:p>
    <w:p>
      <w:r>
        <w:t>A/2170/2010 - 26/28 - (IVG), p. 253 sv, ad 41 LAI), soit sans que n'existe une modification de la situation ayant concrètement des effets sur la capacité de gain de l'assuré (ATFA I 210/02 du</w:t>
      </w:r>
    </w:p>
    <w:p>
      <w:r>
        <w:rPr>
          <w:b/>
        </w:rPr>
        <w:t>E. 11</w:t>
      </w:r>
    </w:p>
    <w:p>
      <w:r>
        <w:t>Reste à examiner si l’intimé pouvait réviser sa décision en application de l’art. 53 al. 1 LPGA. Selon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(ATF 127 V 358 consid. 5b et les références). Or, dans le cas d’espèce, la décision initiale a été confirmée par le Tribunal de céans de sorte que l’intimé ne pouvait que solliciter la révision du jugement du 4 décembre 2007, ce qu’il n’a pas fait. Ainsi, la révision au sens de l’art. 53 al.1 LPGA n’était pas ouverte.</w:t>
      </w:r>
    </w:p>
    <w:p>
      <w:r>
        <w:rPr>
          <w:b/>
        </w:rPr>
        <w:t>E. 12</w:t>
      </w:r>
    </w:p>
    <w:p>
      <w:r>
        <w:t>Au vu de ce qui précède, la décision du 20 mai 2010 doit être annulée et l’octroi d’une demi-rente d’invalidité confirmé.</w:t>
      </w:r>
    </w:p>
    <w:p>
      <w:r>
        <w:t>A/2170/2010 - 27/28 -</w:t>
      </w:r>
    </w:p>
    <w:p>
      <w:r>
        <w:rPr>
          <w:b/>
        </w:rPr>
        <w:t>E. 13</w:t>
      </w:r>
    </w:p>
    <w:p>
      <w:r>
        <w:t>La procédure en matière de contestations portant sur l’octroi ou le refus de prestations de l’AI étant soumise à des frais de justice (art. 69 al. 1bis LAI), un émolument de 500 fr. sera mis à la charge de l’intimé. Par ailleurs, le recourant obtenant gain de cause, une indemnité de 3'000 fr. lui est accordée à titre de dépens (art. 61 let. g LPGA).</w:t>
      </w:r>
    </w:p>
    <w:p>
      <w:r>
        <w:t>A/2170/2010 - 28/28 - PAR CES MOTIFS, LA CHAMBRE DES ASSURANCES SOCIALES: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