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ATAS/419/2020 vom 28. Mai 2020</w:t>
      </w:r>
    </w:p>
    <w:p>
      <w:r>
        <w:t>GE Cour de justice, 2020-05-28, FR</w:t>
      </w:r>
    </w:p>
    <w:p>
      <w:r>
        <w:rPr>
          <w:b/>
        </w:rPr>
        <w:t xml:space="preserve">Quelle: </w:t>
      </w:r>
      <w:r>
        <w:t>https://mcp.opencaselaw.ch/entscheid/ge_gerichte_ATAS_419_2020</w:t>
      </w:r>
    </w:p>
    <w:p>
      <w:r>
        <w:t>FR: GE_GERICHTE ATAS/419/2020 du 28 mai 2020</w:t>
      </w:r>
    </w:p>
    <w:p>
      <w:r>
        <w:t>IT: GE_GERICHTE ATAS/419/2020 del 28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A/3482/2019 - 15/23 -</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bien-fondé de la décision de l’intimée de cesser le versement de ses prestations au recourant au-delà du 10 juin 2019, au motif qu’il était capable de travailler à 100% depuis lors et qu’il n’y avait plus lieu de poursuivre le traitement médical.</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A/3482/2019 - 16/23 -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A/3482/2019 - 17/23 -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A/3482/2019 - 18/23 - c.b.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Les appréciations médicales des médecins de la SUVA ou des cliniques de réhabilitation de la SUVA (telles que la CRR) n'ont que la valeur d'un médecin interne à l'assurance (versicherungsinterner ärztlicher Feststellungen). Aussi, de légers doutes sur leur fiabilité et leurs conclusions nécessitent des éclaircissements complémentaires (ergänzende Abklärungen) (ATF 145 V 97; arrêt du Tribunal fédéral 8C_661/2019 du 23 janvier 2020). 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w:t>
      </w:r>
    </w:p>
    <w:p>
      <w:r>
        <w:t>A/3482/2019 - 19/23 -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la règle selon laquelle le fardeau de la preuve appartient à la partie qui invoque la suppression du droit (RAMA 2000 n° U 363 p. 46), entre seulement en considération s'il n'est pas</w:t>
      </w:r>
    </w:p>
    <w:p>
      <w:r>
        <w:t>A/3482/2019 - 20/23 -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12</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A/3482/2019 - 21/23 -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la décision querellée est principalement fondée sur l’évaluation interdisciplinaire de la CRR. Selon le rapport signé par les Drs L______ et M______, le recourant souffrait encore, au jour de leur examen, de gonalgies persistantes après la résection partielle du ménisque externe du 26 octobre 2018. Le recourant n’avait collaboré que très partiellement à l’évaluation de ses capacités fonctionnelles, qui n’avaient pu être déterminées. Le traumatisme du 20 février 2018 avait provoqué une lésion intra-articulaire et une lésion méniscale externe très discrète. Les suites opératoires avaient sans doute été laborieuses avec une hémarthrose, puis une importante décharge dont témoignait encore un certain degré d’atrophie musculaire de la cuisse et du mollet. L’examen physique actuel était toutefois rassurant. L’IRM post-opératoire l’était également. On ne comprenait médicalement ni l’intensité de la douleur actuelle, ni l’autolimitation au cours des tests standardisés, ni l’autodépréciation massive de ses propres aptitudes fonctionnelles. Ce rapport ne détermine pas de manière claire la capacité de travail du recourant, ni le retour au statu quo sine vel ante. Les experts semblent avoir considéré que l’intensité des douleurs dont le recourant se plaignait encore n’était plus en lien de causalité naturelle avec l’accident, faute de données médicales objectives justifiant le handicap allégué, sans dater ni justifier le retour au statu quo sine vel ante. Les experts ont relevé que les suites opératoires avaient sans doute été laborieuses avec une hémarthrose, puis une importante décharge, dont témoignait encore un certain degré d’atrophie musculaire de la cuisse et du mollet, admettant ainsi que les suites de l’opération avaient été plus longues qu’attendues. Ils n’ont pas expliqué pour quelles raisons, au jour de leur examen, les douleurs du recourant ne pouvaient plus être mises en lien avec l’opération du 26 octobre 2018, étant rappelé que l’intimée n’avait pas contesté que cette opération était en lien avec l’accident, puisqu’elle a accepté de prendre en charge les frais liés à celle-ci le 2 octobre 2018. Le rapport de la CRR n’est ainsi pas convaincant et il ne peut, dès lors, se voir reconnaître une pleine valeur probante. Il est en outre remis en cause par les rapports des médecins traitants du recourant. En effet, dans son rapport médical du 10 février 2019, le Dr I______ a posé le diagnostic de lésion du ménisque interne et externe du genou gauche du recourant et relevé que les douleurs persistaient, mais que le pronostic était favorable dans les prochains mois. Il n’y avait pas de circonstances particulières ayant influencé l’évolution du traitement (par exemple antécédents médicaux, accidents ou conditions de vie). Le recourant avait fait une IRM de contrôle qui était normale. La durée prévisible du traitement était de deux à trois mois. Il n’y avait pas lieu</w:t>
      </w:r>
    </w:p>
    <w:p>
      <w:r>
        <w:t>A/3482/2019 - 22/23 - d’intervenir auprès de l’employeuse pour une affectation à un poste de travail approprié, ni s’attendre à la persistance d’un problème. Il en résulte qu’en février 2019 déjà, l’IRM de contrôle était normale et que cela n’a pas empêché l’intimée de prendre en charge le cas par décision du 5 juin 2019. Selon le rapport établi le 31 juillet 2019 par le Dr I______, suite à son opération, le recourant conservait des douleurs qui l’empêchaient de reprendre le travail. Ce médecin ne semblait ainsi pas remettre en cause le fait que les douleurs étaient encore liées à l’opération subie, même si elles avaient duré plus longtemps qu’il ne l’avait prévu le 10 février 2019. Même si le Dr P______ a conclu, le 17 décembre 2019, à l’absence de lésion anatomique pour expliquer les symptômes du recourant, il semblait considérer que l’opération du 26 octobre 2018 avait encore des conséquences sur l’état de santé du recourant, puisqu’il faisait état de séquelles postopératoires au niveau méniscal, selon l’IRM, et estimait nécessaire une prise en charge de type physiothérapie intensive avec renforcement et mobilisation intensive. Ainsi, il apparaît vraisemblable qu’au-delà du 10 juin 2019, l’incapacité de travail et les soins médicaux dispensés au recourant étaient encore, au moins partiellement, en lien de causalité naturelle avec l’accident du 20 février 2018. Faute de rapports établissant, au degré de la vraisemblance prépondérante, que les causes accidentelles de l’atteinte à la santé du recourant ne jouaient plus de rôle dans ses douleurs et l’incapacité de travail dès le 11 juin 2019, attestée par ses médecins traitants, l’intimée ne pouvait pas cesser le versement de ses prestations dès cette date, étant rappelé que le fardeau de la preuve lui appartient dans le contexte de la suppression du droit à des prestations.</w:t>
      </w:r>
    </w:p>
    <w:p>
      <w:r>
        <w:rPr>
          <w:b/>
        </w:rPr>
        <w:t>E. 14</w:t>
      </w:r>
    </w:p>
    <w:p>
      <w:r>
        <w:t>Il se justifie en l'occurrence d'annuler la décision entreprise et de renvoyer la cause à l'intimée pour prise en charge des suites de l’accident au-delà du 10 juin 2019 ou mise en œuvre d'une expertise, conformément à l’art. 44 LPGA, et nouvelle décision. Il n'appartient en effet pas à la chambre de céans d'ordonner elle-même une expertise judiciaire, dès lors que l’intimée s'est fondée sur un dossier insuffisamment instruit.</w:t>
      </w:r>
    </w:p>
    <w:p>
      <w:r>
        <w:rPr>
          <w:b/>
        </w:rPr>
        <w:t>E. 15</w:t>
      </w:r>
    </w:p>
    <w:p>
      <w:r>
        <w:t>Il ne sera pas alloué de dépens au recourant qui obtient partiellement gain de cause, car il a agi sans l'assistance d'un avocat et n’en a pas demandés (art. 61 let. g LPGA).</w:t>
      </w:r>
    </w:p>
    <w:p>
      <w:r>
        <w:rPr>
          <w:b/>
        </w:rPr>
        <w:t>E. 16</w:t>
      </w:r>
    </w:p>
    <w:p>
      <w:r>
        <w:t>Pour le surplus, la procédure est gratuite (art. 61 let. a LPGA).</w:t>
      </w:r>
    </w:p>
    <w:p>
      <w:r>
        <w:t>A/3482/2019 - 23/23 -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