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ATAS/419/2019 vom 14. Mai 2019</w:t>
      </w:r>
    </w:p>
    <w:p>
      <w:r>
        <w:t>GE Cour de justice, 2019-05-14, FR</w:t>
      </w:r>
    </w:p>
    <w:p>
      <w:r>
        <w:rPr>
          <w:b/>
        </w:rPr>
        <w:t xml:space="preserve">Quelle: </w:t>
      </w:r>
      <w:r>
        <w:t>https://mcp.opencaselaw.ch/entscheid/ge_gerichte_ATAS_419_2019</w:t>
      </w:r>
    </w:p>
    <w:p>
      <w:r>
        <w:t>FR: GE_GERICHTE ATAS/419/2019 du 14 mai 2019</w:t>
      </w:r>
    </w:p>
    <w:p>
      <w:r>
        <w:t>IT: GE_GERICHTE ATAS/419/2019 del 14 maggio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auquel un statut de ménagère a été reconnu, à une rente d’invalidité, singulièrement sur l’importance des empêchements dans la tenue du ménage.</w:t>
      </w:r>
    </w:p>
    <w:p>
      <w:r>
        <w:rPr>
          <w:b/>
        </w:rPr>
        <w:t>E. 4.2</w:t>
      </w:r>
    </w:p>
    <w:p>
      <w:r>
        <w:t>et 123 V 233 consid. 3c ainsi que les références), une personne qui s'occupe du ménage doit tout d’abord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w:t>
      </w:r>
    </w:p>
    <w:p>
      <w:r>
        <w:t>A/3548/2018 - 10/16 -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cas d'une personne rencontrant des difficultés à accomplir ses travaux ménagers à cause de son handicap, le principe évoqué ci-dessus se concrétise également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w:t>
      </w:r>
    </w:p>
    <w:p>
      <w:r>
        <w:rPr>
          <w:b/>
        </w:rPr>
        <w:t>E. 5</w:t>
      </w:r>
    </w:p>
    <w:p>
      <w:r>
        <w:t>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L’assuré a droit à une rente entière s’il est invalide à 70% au moins, à un trois- quarts de rente s'il est invalide à 60% au moins, à une demi-rente s’il est invalide à 50% au moins, ou à un quart de rente s’il est invalide à 40% au moins (art. 28 al. 2 LAI).</w:t>
      </w:r>
    </w:p>
    <w:p>
      <w:r>
        <w:t>A/3548/2018 - 8/16 - b. Les assurés majeurs qui n’exerçaient pas d’activité lucrative avant d’être atteints dans leur santé physique, mentale ou psychique et dont il ne peut être exigé qu’ils en exercent une sont réputés invalides si l’atteinte les empêche d’accomplir leurs travaux habituels (art. 8 al. 3 LPGA et art. 28a al. 2 LAI). Par travaux habituels des assurés travaillant dans le ménage, il faut entendre notamment l’activité usuelle dans le ménage, l’éducation des enfants ainsi que toute activité artistique ou d’utilité publique (art. 27 RAI 1ère phrase). Pour établir l'invalidité de ces personnes, on cherche donc à établir l'importance de cet empêchement. Il s'agit de la méthode dite spécifique d'évaluation de l'invalidité (arrêt du Tribunal fédéral des assurances I 707/04 du 2 août 2005, consid. 3.1.2). c.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consid. 3.3).</w:t>
      </w:r>
    </w:p>
    <w:p>
      <w:r>
        <w:rPr>
          <w:b/>
        </w:rPr>
        <w:t>E. 6</w:t>
      </w:r>
    </w:p>
    <w:p>
      <w:r>
        <w:t>a.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I.733/06 du 16 juillet 2007).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du Tribunal fédéral 8C_671/2007 du 13 juin 2008 consid. 3.2.1 et I 311/03 du 22 décembre 2003 consid. 4.2.1, in VSI 2004 p. 137). Une telle priorité de principe est justifiée par le fait qu'il est souvent difficile pour la personne chargée de l'enquête à</w:t>
      </w:r>
    </w:p>
    <w:p>
      <w:r>
        <w:t>A/3548/2018 - 9/16 -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et du rapport d'enquête économique sur le ménage (consid. 2.3.2 non publié au Recueil officiel mais dans VSI 2003 p. 218 de l'ATF 129 V 67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Tribunal fédéral 9C_108/2009 du 29 octobre 2009). b. Le Tribunal fédéral a eu l'occasion de tenir compte d'une capacité de travail moyenne en raison du caractère cyclique d'une maladie (cf. p. ex. arrêt du Tribunal fédéral 9C_953/2008 du 5 octobre 2009 consid. 3.2). Dans un arrêt plus récent, le Tribunal fédéral a considéré que lorsqu'il s'agissait de déterminer la capacité résiduelle de travail d'une personne atteinte d'une maladie qui évoluait par poussées, il convenait d'intégrer dans le cadre de la réflexion la question de l'évolution dans le temps de la maladie, soit de tenir compte notamment de la fréquence et de l'intensité des poussées. Il n’était pas suffisant de se fonder sur une évaluation médicale qui ne reflétait qu'une image instantanée de la situation; celle- ci devait bien au contraire tracer de manière précise l'évolution - passée et future - de la capacité de travail. À cet égard, le médecin devait examiner l'évolution temporelle de la capacité de travail, en tenant compte, eu égard à l'évolution fluctuante de la maladie, aussi bien des phases actives que des phases moins actives de celle-ci. En d'autres termes, il devait se prononcer sur l'évolution chronologique de la pathologie et apprécier, dans une perspective à long terme, le retentissement global que celle-ci avait sur la capacité de travail de l'assuré (arrêt du Tribunal fédéral 9C_153/2015 du 3 novembre 2015 consid. 3.2, 3.3 et 3.4). c.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138 I 205 consid. 3.2). Pour satisfaire à l'obligation de réduire le dommage (voir ATF 129 V 463 consid.</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w:t>
      </w:r>
    </w:p>
    <w:p>
      <w:r>
        <w:t>A/3548/2018 - 11/16 -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b/aa.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b/cc.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w:t>
      </w:r>
    </w:p>
    <w:p>
      <w:r>
        <w:t>A/3548/2018 - 12/16 - consid. 5; ATF 135 V 465 consid. 4.4 et 4.6; arrêt du Tribunal fédéral 9C_371/2018 du 16 août 2018 consid. 4.3.1).</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9</w:t>
      </w:r>
    </w:p>
    <w:p>
      <w:r>
        <w:t>avril 2018, la recourante présentait une diminution du rendement fonctionnel dans les activités impliquant des contacts avec des tiers. b. Il convient donc désormais de déterminer le degré d’invalidité résultant des limitations fonctionnelles évoquées par l’expert. Conformément à la jurisprudence, l’OAI a effectué une enquête sur le ménage. Force est de constater que le rapport d’enquête a été élaboré par une infirmière qualifiée en connaissance de la situation médicale et locale et qu’il résume de manière détaillée les explications de la recourante s’agissant de chaque activité. L’enquêtrice a précisé les empêchements dans les différents champs d’activité et l’aide exigible des proches. Les activités que la recourante peut effectuer seule ou qu’elle doit au contraire déléguer à ses proches sont décrites avec précision. Conformément aux constatations du Dr F______ et aux déclarations de la recourante, les limitations fonctionnelles liées à la phobie sociale et au contact avec les autres ont été prises en considération par l’enquêtrice, laquelle a toutefois considéré que l’aide de l’époux de la recourante était exigible pour pallier la plupart des empêchements.</w:t>
      </w:r>
    </w:p>
    <w:p>
      <w:r>
        <w:t>A/3548/2018 - 14/16 - Les empêchements retenus par l’enquêtrice ne prêtent ainsi pas le flanc à la critique, ce d’autant moins que la recourante ne formule aucune critique précise à leur encontre. Par conséquent, au jour de la décision querellée, l’invalidité était bien de 6,6%, dès lors que l’état dépressif devait être qualifié de moyen, ce qui avait pour conséquence des limitations fonctionnelles limitées, prises en considération par l’enquêtrice. Cela étant, la recourante a déposé sa demande de prestations en mai 2016 mais elle souffre d’une atteinte incapacitante depuis 2012. Conformément à l’art. 29 al. 1 LAI, son droit à une éventuelle rente serait né, au plus tôt, en novembre 2016. Le Dr F______ ne s’est pas prononcé sur l’évolution de la maladie, depuis 2012 mais uniquement sur l’état de santé de la recourante en 2018. Son appréciation reflète ainsi une image instantanée de la situation, où l’état psychique lui permettait de tenir son ménage. Or, il ressort notamment du rapport de Madame H______ et du Dr C______ du 6 juillet 2018 que la recourante souffrait d’un trouble psychique évoluant de manière cyclique depuis 2012, avec au minimum deux fois par année des phases durant lesquelles le trouble dépressif récurrent était d’intensité sévère. Cela revient ainsi à retenir un trouble fluctuant entre intensité moyenne et sévère, avec des phases où la recourante peut s’occuper de son ménage et des phases où cela ne semble pas possible. Or, en présence justement d’une maladie évoluant de manière cyclique, il appartient à l’OAI de prendre en compte l'évolution fluctuante de la maladie dans son appréciation de l’invalidité (cf. arrêt du Tribunal fédéral 9C_153/2015 du 3 novembre 2015 consid. 3.2), ce qui n’a à l’évidence pas été le cas, le rapport du Dr F______ ne permettant au demeurant pas d’y répondre, faute de se prononcer sur l’évolution passée du trouble psychique. Dans la mesure où l’intimé s’est limité à examiner la capacité de la recourante à tenir son ménage en 2018, sans examiner l’évolution passée et future, la décision entreprise doit être annulée et la cause renvoyée pour instruction complémentaire sur ce point. À cet effet, il appartiendra à l’OAI d’obtenir des renseignements médicaux concernant la durée des phases d’intensité sévère et la diminution du rendement fonctionnel dans la tenue du ménage lorsque justement le trouble dépressif doit être qualifié de sévère. L’OAI devra également procéder à une nouvelle enquête ménagère, laquelle devra examiner la capacité de la recourante à tenir son ménage lorsque le trouble dépressif dont elle souffre est qualifié de sévère.</w:t>
      </w:r>
    </w:p>
    <w:p>
      <w:r>
        <w:rPr>
          <w:b/>
        </w:rPr>
        <w:t>E. 10</w:t>
      </w:r>
    </w:p>
    <w:p>
      <w:r>
        <w:t>Au vu de ce qui précède, le recours est admis et la décision du 10 septembre 2018 sera annulée. La recourante, représentée par un conseil, obtenant partiellement gain de cause, une indemnité lui sera accordée à titre de participation à ses frais et dépens, arrêtée en l’espèce à CHF 1’500.- (art. 61 let. g LPGA; art. 89H al. 3 LPA; art. 6 du règlement sur les frais, émoluments et indemnités en matière administrative, du 30 juillet 1986 [RFPA – RS/GE E 5 10.03]).</w:t>
      </w:r>
    </w:p>
    <w:p>
      <w:r>
        <w:t>A/3548/2018 - 15/16 - Par ailleurs, la procédure n’étant pas gratuite en matière de contestations portant sur l’octroi ou le refus de prestations d’invalidité devant le tribunal cantonal des assurances (donc la chambre de céans), en dérogation à l’art. 61 let. a LPGA (art. 69 al. 1bis phr. 1 LAI), il y a lieu de condamner l’intimé au paiement d'un émolument, arrêté en l’espèce au minimum de CHF 200.- (art. 69 al. 1bis phr. 2 in fine LAI).</w:t>
      </w:r>
    </w:p>
    <w:p>
      <w:r>
        <w:t>A/3548/2018 - 16/16 -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