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ATAS/419/2018 vom 17. Mai 2018</w:t>
      </w:r>
    </w:p>
    <w:p>
      <w:r>
        <w:t>GE Cour de justice, 2018-05-17, FR</w:t>
      </w:r>
    </w:p>
    <w:p>
      <w:r>
        <w:rPr>
          <w:b/>
        </w:rPr>
        <w:t xml:space="preserve">Quelle: </w:t>
      </w:r>
      <w:r>
        <w:t>https://mcp.opencaselaw.ch/entscheid/ge_gerichte_ATAS_419_2018</w:t>
      </w:r>
    </w:p>
    <w:p>
      <w:r>
        <w:t>FR: GE_GERICHTE ATAS/419/2018 du 17 mai 2018</w:t>
      </w:r>
    </w:p>
    <w:p>
      <w:r>
        <w:t>IT: GE_GERICHTE ATAS/419/2018 del 17 maggio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délais et forme prescrits par la loi, le recours est recevable (art. 56 ss LPGA).</w:t>
      </w:r>
    </w:p>
    <w:p>
      <w:r>
        <w:rPr>
          <w:b/>
        </w:rPr>
        <w:t>E. 3</w:t>
      </w:r>
    </w:p>
    <w:p>
      <w:r>
        <w:t>Est litigieuse en l’occurrence la question de savoir si l’état de santé de la recourante s’est aggravé depuis la dernière décision de l’intimé du 15 décembre 2014, réduisant la rente entière de la recourante à une demi-rente dès le 1er février 2015, et cas échéant si cette aggravation justifie une augmentation de la rente.</w:t>
      </w:r>
    </w:p>
    <w:p>
      <w:r>
        <w:rPr>
          <w:b/>
        </w:rPr>
        <w:t>E. 4</w:t>
      </w:r>
    </w:p>
    <w:p>
      <w:r>
        <w:t>Dans un premier grief d’ordre formel, la recourante se prévaut d'une violation du droit d’être entendue, la décision querellée n'étant pas motivée. a. La jurisprudence a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ATF 126 I 15 consid. 2a/aa). Le devoir de motiver une décision est en outre prescrit à l'art. 49 al. 3 LPGA. Pour répondre aux exigences fixées par cette disposition,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Une violation du droit d’être entendu est toutefois considérée comme réparée lorsque l'intéressé jouit de la possibilité de s'exprimer librement devant une autorité</w:t>
      </w:r>
    </w:p>
    <w:p>
      <w:r>
        <w:t>A/530/2018 - 7/13 -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5.1).a. L’art. 17 al. 1er LPGA dispose que si le taux d’invalidité du bénéficiaire de la rente subit une modification notable, la rente est, d’office ou sur demande, révisée pour l’avenir, à savoir augmentée ou réduite en conséquence, ou encore supprimée. b. En l'occurrence, la décision querellée est certes très brièvement motivée. Il n'en demeure pas moins que le recourante pouvait comprendre que sa demande de révision a été rejetée en raison du fait que l'intimé a considéré que son état de santé ne s'était pas aggravé. En tout état de cause, l'éventuel vice de motivation a pu être réparé devant la chambre de céans.</w:t>
      </w:r>
    </w:p>
    <w:p>
      <w:r>
        <w:rPr>
          <w:b/>
        </w:rPr>
        <w:t>E. 5</w:t>
      </w:r>
    </w:p>
    <w:p>
      <w:r>
        <w:t>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Selon l'art. 87 al. 2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w:t>
      </w:r>
    </w:p>
    <w:p>
      <w:r>
        <w:t>A/530/2018 - 8/13 - contrôle par l'autorité judiciaire n'est en revanche pas nécessaire lorsque l'administration est entrée en matière sur la nouvelle demande (ATF 109 V 108 consid. 2b p. 114).</w:t>
      </w:r>
    </w:p>
    <w:p>
      <w:r>
        <w:rPr>
          <w:b/>
        </w:rPr>
        <w:t>E. 6</w:t>
      </w:r>
    </w:p>
    <w:p>
      <w:r>
        <w:t>En l’occurrence, la recourante a demandé une révision du droit à la rente par courrier du 14 août 2016, par lequel elle a informé l’intimé qu’elle avait démissionné de son poste de travail, d’une part, et qu’elle était en incapacité de travail totale, d'autre part. Elle l'a confirmé par courrier du 13 septembre 2016. Toutefois, déjà auparavant, l’intimé avait entamé une procédure de révision, après que la recourante lui a communiqué qu’elle augmentait son taux d’occupation professionnelle à 80 % dès le 1er janvier 2016. Dans le cadre de ces révisions, d’office et sur demande de la recourante, l’intimé a procédé à l’instruction de la cause. Il convient dès lors de considérer qu’il est entré en matière aussi sur la demande de révision de la recourante. Partant, il ne peut refuser les prestations au motif que la recourante n’avait pas rendu plausible une aggravation de l’état de santé, comme cela semble ressortir de l’avis du SMR du 21 décembre 2017. Par conséquent, il y a lieu d'examiner la question de l'aggravation de l'état de santé quant au fond.</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8</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w:t>
      </w:r>
    </w:p>
    <w:p>
      <w:r>
        <w:t>A/530/2018 - 9/13 -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ou aggravation de l'état de santé de l'assuré en comparant les faits tels qu'ils se présentaient au moment de la décision initiale avec la situation au moment de son examen (ATF 125 V 369 consid. 2).</w:t>
      </w:r>
    </w:p>
    <w:p>
      <w:r>
        <w:rPr>
          <w:b/>
        </w:rPr>
        <w:t>E. 9</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w:t>
      </w:r>
    </w:p>
    <w:p>
      <w:r>
        <w:rPr>
          <w:b/>
        </w:rPr>
        <w:t>E. 10</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11</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t>A/530/2018 - 10/13 -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w:t>
      </w:r>
    </w:p>
    <w:p>
      <w:r>
        <w:rPr>
          <w:b/>
        </w:rPr>
        <w:t>E. 13</w:t>
      </w:r>
    </w:p>
    <w:p>
      <w:r>
        <w:t>a. Le Dr B______ atteste dans son rapport du 10 mai 2016 que la recourante présente une dysthymie, une phobie sociale et une anxiété généralisée avec une capacité de travail de 50 % à compter d’avril 2014. Les symptômes étaient à l’époque les suivants : fatigue, fatigabilité marquée (l’assurée doit le plus souvent se reposer en sortant du travail), augmentation des angoisses par rapport à quelques mois en arrière, thymie plus triste fréquemment, manque de concentration, d’attention, sentiment d’être dépassée et surmenée. Dans son constat médical, il mentionne une symptomatologie dysthymique de nouveau plus marquée, après un essai d’augmentation du temps de travail, avec des angoisses invalidantes au quotidien et dans son travail, souvent irritable avec des difficultés à se concentrer et à soutenir son attention. Le traitement consiste en Sertraline 200 mg/jour et Tranxilium 5-10 mg/jour. Dans son rapport du 24 octobre 2016, soit après le licenciement de la recourante, respectivement sa démission, le Dr B______ atteste que l’état de santé s’est aggravé. Deux événements ont contribué à cette aggravation, à savoir le mobbing au travail suivi de la fin des rapports de travail et la maladie grave de feu son mari.</w:t>
      </w:r>
    </w:p>
    <w:p>
      <w:r>
        <w:t>A/530/2018 - 11/13 - Dans ce contexte, le Dr B______ atteste que la recourante a progressivement présenté une symptomatologie anxieuse de plus en plus marquée, des difficultés de concentration, une fatigue importante, des attaques de panique presque quotidiennes, un manque d’élan vital, une anhédonie devenant plus importante, des ruminations et une symptomatologie dépressive avec céphalées fréquentes, inappétence et insomnies. La capacité de travail est nulle, le niveau de fonctionnement habituel de la recourante n’étant pas encore rétabli. Le traitement médical est resté identique. Dans son rapport du 14 mars 2017, le Dr B______ atteste que l’état est resté stationnaire depuis son dernier rapport. La symptomatologie dépressive s’est nettement accentuée depuis le décès de son mari le 9 décembre 2016. Cette symptomatologie est avant tout « somatique », avec une fatigue et une fatigabilité importante, perte d’appétit, des difficultés dans le maintien du sommeil et des réveils précoces. A cela s’ajoutent des plaintes somatiques mal systématisées du genre fourmillements dans les pieds et les mains et céphalées fréquentes. Au traitement médicamenteux a été ajouté un somnifère, des Oméga 3 et l’Algifor. L’incapacité de travail reste complète, la recourante devant surmonter la perte de son emploi, dans un contexte conflictuel, et le décès de son mari. Le 2 décembre 2017, le Dr B______ maintient que l’état reste stationnaire et qu’une reprise du travail est actuellement inenvisageable. b. Cette appréciation médicale est contestée par le SMR, dans son avis médical du 21 décembre 2017. Toutefois, la Dresse C______ n’est pas psychiatre et n’a pas examiné la recourante. Par ailleurs, elle doit avoir pris une connaissance très superficielle du dossier. En effet, son avis médical contient d’abord une erreur au premier paragraphe lorsqu'elle fait état de ce que la recourante a bénéficié d’une demi-rente dès le 1er juin 2010, sans mentionner qu’elle a ensuite bénéficié d’une rente entière. Par ailleurs, elle mentionne une expertise effectuée par le Dr E______, psychiatre au SMR, qui n’a jamais examiné la recourante. Ensuite, elle indique avoir interrogé le Dr B______ et que celui-ci a répondu que la situation était stationnaire et que la capacité de travail actuelle était nulle, sans mentionner que ce même médecin a attesté auparavant que l’état de santé s’était aggravé, si bien que la situation n’était stationnaire que par rapport à son dernier rapport médical. Cela étant, l’avis du SMR n’a aucune valeur probante et n’est pas propre à mettre en doute l’appréciation médicale du Dr B______. c. Quant aux appréciations de la capacité de travail par le Dr B______, elles n'ont pas une valeur probante suffisante. Ce médecin n'a notamment pas eu connaissance du dossier médical intégral, soit en particulier des expertises qui ont abouti à l'octroi d'une demi-rente, puis d'une rente entière en 2010. Ses appréciations ne contiennent pas non plus une anamnèse complète. En outre, il est surprenant qu'une dysthymie, telle que retenue par le psychiatre traitant, provoque une incapacité de travail totale de longue durée, même si cela ne peut pas être totalement exclu si ce diagnostic est associé à d'autres comorbidités. Enfin, faute d'informations</w:t>
      </w:r>
    </w:p>
    <w:p>
      <w:r>
        <w:t>A/530/2018 - 12/13 - suffisantes, il n'est pas possible d'examiner la capacité de travail sur la base des indicateurs établis par le Tribunal fédéral pour l'appréciation du caractère invalidant d'un trouble somatoforme douloureux, conformément à sa jurisprudence récente. Il appert ainsi que l’instruction est manifestement lacunaire. Cela étant, il y a lieu de renvoyer la cause à l’intimé afin qu’il complète l’instruction par une expertise psychiatrique.</w:t>
      </w:r>
    </w:p>
    <w:p>
      <w:r>
        <w:rPr>
          <w:b/>
        </w:rPr>
        <w:t>E. 14</w:t>
      </w:r>
    </w:p>
    <w:p>
      <w:r>
        <w:t>Partant, le recours sera partiellement admis, la décision annulée et la cause renvoyée à l’intimé pour instruction complémentaire.</w:t>
      </w:r>
    </w:p>
    <w:p>
      <w:r>
        <w:rPr>
          <w:b/>
        </w:rPr>
        <w:t>E. 15</w:t>
      </w:r>
    </w:p>
    <w:p>
      <w:r>
        <w:t>Dès lors que la recourante obtient partiellement gain de cause, l’intimé est condamné à lui verser une indemnité de CHF 1'500.- à titre de dépens.</w:t>
      </w:r>
    </w:p>
    <w:p>
      <w:r>
        <w:rPr>
          <w:b/>
        </w:rPr>
        <w:t>E. 16</w:t>
      </w:r>
    </w:p>
    <w:p>
      <w:r>
        <w:t>L’émolument de justice, fixé à CHF 200.-, est mis à la charge de l’intimé.</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