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ATAS/419/2014 vom 20. März 2014</w:t>
      </w:r>
    </w:p>
    <w:p>
      <w:r>
        <w:t>GE Cour de justice, 2014-03-20, FR</w:t>
      </w:r>
    </w:p>
    <w:p>
      <w:r>
        <w:rPr>
          <w:b/>
        </w:rPr>
        <w:t xml:space="preserve">Quelle: </w:t>
      </w:r>
      <w:r>
        <w:t>https://mcp.opencaselaw.ch/entscheid/ge_gerichte_ATAS_419_2014</w:t>
      </w:r>
    </w:p>
    <w:p>
      <w:r>
        <w:t>FR: GE_GERICHTE ATAS/419/2014 du 20 mars 2014</w:t>
      </w:r>
    </w:p>
    <w:p>
      <w:r>
        <w:t>IT: GE_GERICHTE ATAS/419/2014 del 20 marzo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La compétence de la Cour de céans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 RS GE J 4 20]) auprès du tribunal des assurances du canton de</w:t>
      </w:r>
    </w:p>
    <w:p>
      <w:r>
        <w:t>A/285/2014 - 4/6 - domicile de l’assuré (art. 58 al. 1 LPGA). Les délais fixés par la loi ne courent pas du 18 décembre au 2 janvier inclusivement (art. 38 al. 4 LPGA). b) S’agissant des prestations complémentaire cantonales, l’art. 43 LPCC ouvre les mêmes voies de droit. c) En l’espèce, le recours a été déposé dans les forme et délai imposés par la loi, de sorte qu’il est recevable.</w:t>
      </w:r>
    </w:p>
    <w:p>
      <w:r>
        <w:rPr>
          <w:b/>
        </w:rPr>
        <w:t>E. 3</w:t>
      </w:r>
    </w:p>
    <w:p>
      <w:r>
        <w:t>Le litige se limite en l’espèce à la question de savoir si c’est à juste titre que l’intimé a déclaré l’opposition formée le 7 décembre 2013 contre sa décision du 1er novembre 2013 irrecevable pour cause de tardiveté. Dès lors, les conclusions et arguments de la recourante relatifs à la réalisation ou non des conditions d’octroi d’une remise sont irrecevables en tant qu’elles excèdent l'objet du litige défini par la décision litigieuse.</w:t>
      </w:r>
    </w:p>
    <w:p>
      <w:r>
        <w:rPr>
          <w:b/>
        </w:rPr>
        <w:t>E. 4</w:t>
      </w:r>
    </w:p>
    <w:p>
      <w:r>
        <w:t>En vertu de l’art. 52 al. 1 LPGA, les décisions peuvent être attaquées dans les 30 jours par voie d’opposition auprès de l’assureur qui les a rendues (cf. également art.</w:t>
      </w:r>
    </w:p>
    <w:p>
      <w:r>
        <w:rPr>
          <w:b/>
        </w:rPr>
        <w:t>E. 8</w:t>
      </w:r>
    </w:p>
    <w:p>
      <w:r>
        <w:t>al. 1 LPCF et 42 al. 1 LPCC). Un délai compté en jours commence à courir le lendemain de la communication (art. 38 al. 1 LPGA). Les écrits doivent être remis au plus tard le dernier jour du délai à l’assureur, ou, à son adresse, à la poste suisse ou à une représentation diplomatique ou consulaire suisse (art. 39 al. 1 LPGA). 5. En l’espèce, le délai légal de 30 jours pour former opposition contre la décision du 1er novembre 2013 a commencé à courir le 5 novembre 2013, soit le lendemain du jour où la décision a été reçue en l’étude désignée par la bénéficiaire pour représenter ses intérêts, étant rappelé que la procuration signée en faveur de l’étude n’avait pas été révoquée. Le délai est ainsi arrivé à échéance le 4 décembre 2013. Force est dès lors de constater que l’opposition – certes datée du 6 décembre mais déposée au guichet le lendemain – n’est pas intervenue dans le délai légal. Or, en vertu de l’art. 40 al. 1 LPGA, le délai légal ne peut pas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certes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Selon la jurisprudence, ne tombent sous la notion de</w:t>
      </w:r>
    </w:p>
    <w:p>
      <w:r>
        <w:t>A/285/2014 - 5/6 - cas de force majeure que les événements extraordinaires et imprévisibles qui surviennent en dehors de la sphère d'activités de l'intéressé et qui s'imposent à lui de l'extérieur de façon irrésistible (SJ 1999 I 119). En l’espèce, le fait que la recourante n’ait personnellement pris connaissance de la décision du 1er novembre 2013 que le 6 novembre n’est pas pertinent puisque c’est à la date de notification au conseil désigné qui fait foi. Qui plus est, la recourante n’ignorait pas à quelle date la décision en question était parvenue à son conseil. Au demeurant, on relèvera que même si on retenait le 6 novembre comme date de notification, l’opposition déposée au guichet postal le 7 décembre serait intervenue tardivement. C’est par conséquent à juste titre que l’intimé a déclaré l’opposition irrecevable pour cause de tardiveté. Sa décision doit ainsi être confirmée et le recours rejeté.</w:t>
      </w:r>
    </w:p>
    <w:p>
      <w:r>
        <w:t>A/285/2014 - 6/6 -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