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ATAS/418/2021 vom 6. Mai 2021</w:t>
      </w:r>
    </w:p>
    <w:p>
      <w:r>
        <w:t>GE Cour de justice, 2021-05-06, FR</w:t>
      </w:r>
    </w:p>
    <w:p>
      <w:r>
        <w:rPr>
          <w:b/>
        </w:rPr>
        <w:t xml:space="preserve">Quelle: </w:t>
      </w:r>
      <w:r>
        <w:t>https://mcp.opencaselaw.ch/entscheid/ge_gerichte_ATAS_418_2021</w:t>
      </w:r>
    </w:p>
    <w:p>
      <w:r>
        <w:t>FR: GE_GERICHTE ATAS/418/2021 du 6 mai 2021</w:t>
      </w:r>
    </w:p>
    <w:p>
      <w:r>
        <w:t>IT: GE_GERICHTE ATAS/418/2021 del 6 maggio 2021</w:t>
      </w:r>
    </w:p>
    <w:p>
      <w:pPr>
        <w:pStyle w:val="Heading2"/>
      </w:pPr>
      <w:r>
        <w:t>Volltext</w:t>
      </w:r>
    </w:p>
    <w:p>
      <w:r>
        <w:t>Siégeant : Philippe KNUPFER, Président; Pierre-Bernard PETITAT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A/4305/2020 ATAS/418/2021 COUR DE JUSTICE Chambre des assurances sociales Arrêt du 6 mai 2021 5ème Chambre</w:t>
      </w:r>
    </w:p>
    <w:p>
      <w:r>
        <w:t>En la cause Madame A______, domiciliée à MOUVAUX, France</w:t>
      </w:r>
    </w:p>
    <w:p>
      <w:r>
        <w:t>recourante</w:t>
      </w:r>
    </w:p>
    <w:p>
      <w:r>
        <w:t>contre CAISSE CANTONALE GENEVOISE DE COMPENSATION, sise 12, rue des Gares, GENÈVE</w:t>
      </w:r>
    </w:p>
    <w:p>
      <w:r>
        <w:t>intimée</w:t>
      </w:r>
    </w:p>
    <w:p>
      <w:r>
        <w:t>A/4305/2020 - 2/2 - Vu la décision sur opposition, datée du 8 décembre 2020, rendue par la caisse cantonale genevoise de compensation (ci-après : la caisse ou l’intimée) ; Vu le recours du 14 décembre 2020, déposé par Madame A______ (ci-après : l’assurée ou la recourante) ; Vu la réponse de la caisse du 18 janvier 2021 ; Vu les explications complémentaires fournies par la caisse à l’assurée quant aux fondements de la décision et aux bases de calcul, notamment par courrier du 15 février 2021 ; Vu le courrier de la recourante du 20 avril 2021, par lequel cette dernière reconnait qu’à la lumière des explications reçues, elle est disposée à régler ses cotisations et informe la chambre de céans qu’elle retire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