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ATAS/418/2020 vom 28. Mai 2020</w:t>
      </w:r>
    </w:p>
    <w:p>
      <w:r>
        <w:t>GE Cour de justice, 2020-05-28, FR</w:t>
      </w:r>
    </w:p>
    <w:p>
      <w:r>
        <w:rPr>
          <w:b/>
        </w:rPr>
        <w:t xml:space="preserve">Quelle: </w:t>
      </w:r>
      <w:r>
        <w:t>https://mcp.opencaselaw.ch/entscheid/ge_gerichte_ATAS_418_2020</w:t>
      </w:r>
    </w:p>
    <w:p>
      <w:r>
        <w:t>FR: GE_GERICHTE ATAS/418/2020 du 28 mai 2020</w:t>
      </w:r>
    </w:p>
    <w:p>
      <w:r>
        <w:t>IT: GE_GERICHTE ATAS/418/2020 del 28 maggio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4</w:t>
      </w:r>
    </w:p>
    <w:p>
      <w:r>
        <w:t>Le délai de recours est de trente jours (art. 56 LPGA ; art. 62 al. 1 de la de loi sur la procédure administrative du 12 septembre 1985 [LPA - E 5 10]). Les délais en jours ou en mois fixés par la loi ou par l’autorité ne courent pas du 15 juillet au 15 août inclusivement (art. 38 al. 4 let. b LPGA et 89C let. b LPA. Interjeté dans la forme et le délai prévus par la loi, compte tenu de la suspension des délais précitée, le recours du 3 septembre 2019 contre la décision sur opposition du 17 juillet 2019 est recevable.</w:t>
      </w:r>
    </w:p>
    <w:p>
      <w:r>
        <w:t>A/3173/2019 - 11/22 -</w:t>
      </w:r>
    </w:p>
    <w:p>
      <w:r>
        <w:rPr>
          <w:b/>
        </w:rPr>
        <w:t>E. 5</w:t>
      </w:r>
    </w:p>
    <w:p>
      <w:r>
        <w:t>Le litige porte sur le droit du recourant à une rente d’invalidité de la part de l’intimée, singulièrement sur le taux de sa capacité de travail dans une activité adaptée et sur le salaire avec invalidité pour la comparaison des revenus.</w:t>
      </w:r>
    </w:p>
    <w:p>
      <w:r>
        <w:rPr>
          <w:b/>
        </w:rPr>
        <w:t>E. 6</w:t>
      </w:r>
    </w:p>
    <w:p>
      <w:r>
        <w:t>a. Selon l’art. 18 al. 1 LAA, si l’assuré est invalide (art. 8 LPGA1) à 10% au moins par suite d’un accident, il a droit à une rente d’invalidité, pour autant que l’accident soit survenu avant l’âge ordinaire de la retraite. Conformément à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b. L'art. 8 LPGA précise qu'est réputée invalidité l'incapacité de gain totale ou partielle qui est présumée permanente ou de longue durée. À teneur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 L'invalidité est une notion économique et non médicale, où sont prises en compte les répercussions de l'atteinte à la santé sur la capacité de gain (arrêt du Tribunal fédéral des assurances I 15/06 du 21 décembre 2006 consid. 2.2). La notion d'invalidité définie à l'art. 8 LPGA, est en principe identique en matière d'assurance-accidents, d'assurance militaire et d'assurance-invalidité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non-professionnelle. Encore faut-il, pour que</w:t>
      </w:r>
    </w:p>
    <w:p>
      <w:r>
        <w:t>A/3173/2019 - 12/22 - l'assurance-invalidité soit liée par l'évaluation de l'assurance-accidents, que celle-ci ait fait l'objet d'une décision passée en force. Tel est le cas si l'entrée en force de la décision de l'assurance-accidents est postérieure à la décision attaquée de l'assurance-invalidité, mais qu'elle est intervenue au cours de la procédure de recours (arrêt du Tribunal fédéral des assurances U 406/01 du 28 novembre 2002 consid. 1.2). Ces principes valent également lorsqu'à l'inverse, la décision de l'assurance-accidents est postérieure à celle de l'assurance-invalidité (arrêt du Tribunal fédéral des assurances U 259/00 du 16 mars 2001 consid. 5b).</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w:t>
      </w:r>
    </w:p>
    <w:p>
      <w:r>
        <w:t>A/3173/2019 - 13/22 -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w:t>
      </w:r>
    </w:p>
    <w:p>
      <w:r>
        <w:t>A/3173/2019 - 14/22 -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10</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11</w:t>
      </w:r>
    </w:p>
    <w:p>
      <w:r>
        <w:t>En l’espèce, l'intimée a retenu, dans sa décision litigieuse du 17 juillet 2019, basée sur les avis de ses médecins d’arrondissement, que les atteintes présentées par le recourant au niveau de son pied droit ne lui permettaient pas de reprendre son métier de nettoyeur, mais qu’elles étaient compatibles avec l'exercice d’une activité adaptée, à plein temps et sans diminution de rendement. Le recourant conteste l’exigibilité retenue et rappelle l’appréciation de sa capacité de travail par le SMR, telle qu’elle ressort du projet de décision de l’OAI du 27 septembre 2019.</w:t>
      </w:r>
    </w:p>
    <w:p>
      <w:r>
        <w:rPr>
          <w:b/>
        </w:rPr>
        <w:t>E. 12</w:t>
      </w:r>
    </w:p>
    <w:p>
      <w:r>
        <w:t>a. À titre préalable, la chambre de céans observe que le projet de décision de l’OAI du 27 septembre 2019, ainsi que les avis du SMR des 5 novembre 2019 et 31 mars 2020, les notes du Dr D______ suite à la consultation du 9 octobre 2019 et le rapport de la Dresse L______ du 23 décembre 2019 sont postérieurs à la date de la décision litigieuse. Cela étant, dans la mesure où ces documents concernent également l’état de santé du recourant jusqu’au moment où la décision attaquée a été rendue, il convient d’en tenir compte. b. C’est encore le lieu de relever qu’il n’existe en l’état aucune décision entrée en force de l’OAI puisque le recourant a déclaré avoir contesté le projet de décision du 27 septembre 2019, de sorte que l’estimation du taux de l’invalidité par l’OAI n’est pas contraignante pour l’intimée.</w:t>
      </w:r>
    </w:p>
    <w:p>
      <w:r>
        <w:rPr>
          <w:b/>
        </w:rPr>
        <w:t>E. 13</w:t>
      </w:r>
    </w:p>
    <w:p>
      <w:r>
        <w:t>a. En ce qui concerne la valeur probante des avis des Drs E______ et H______, la chambre de céans constate que leurs rapports ont été établis en pleine connaissance du dossier du recourant et après deux examens personnels de ce dernier, le 6 septembre 2017 par le Dr E______ puis le 28 février 2018 par le Dr H______. Les médecins-conseils ont tenu compte des plaintes de l’intéressé, leurs avis ne comportent pas de contradiction et leurs conclusions sont dûment motivées.</w:t>
      </w:r>
    </w:p>
    <w:p>
      <w:r>
        <w:t>A/3173/2019 - 15/22 - Ces rapports remplissent donc les critères jurisprudentiels pour se voir reconnaître une pleine valeur probante. Il convient encore de vérifier s’il existe des indices concrets permettant de mettre en cause leurs bien-fondés. b. S’agissant des atteintes à la santé et de leur évolution, le Dr E______ a retenu que le recourant présentait d’importantes douleurs résiduelles avec des épisodes de pseudo-lâchages, en raison d’une pseudarthrose sous-talienne, compliquée par une infection profonde post-opératoire (cf. rapport du 27 septembre 2017). Le Dr H______ a considéré que la situation était stabilisée dès le mois de mars 2018 (cf. avis du 21 mars 2018). Ces constatations et diagnostics sont conformes aux pièces produites par-devant la chambre de céans (cf. rapports du Dr D______ des 30 août, 30 novembre 2017 et 20 septembre 2018, et du Prof. F______ des 6 décembre 2017 et 9 mars 2018). De même, la stabilisation du cas est confirmée par l’évaluation du Prof. F______ qui a conclu à une guérison hautement probable de l’infection (cf. rapport du 9 mars 2018), par celle du Dr D______ qui a fait état de la consolidation de la pseudarthrose sans qu’une nouvelle intervention ne soit envisagée (cf. rapport du 20 septembre 2018), d’un bilan radiologique superposable au précédent (cf. rapport du 5 avril 2019) et d’une évolution stagnante (cf. rapport du 5 avril 2019 et notes de consultation du 9 octobre 2019), et par celle de la Dresse I______ qui a indiqué que l’examen clinique de son dernier contrôle était superposable au précédent (cf. rapport du 6 août 2018). Le recourant ne prétend d’ailleurs pas qu’il souffrirait d’autres atteintes que celles retenues, ni que son état de santé ne serait pas stabilisé. c. En ce qui concerne la capacité de travail, le Dr E______ a estimé que les troubles étaient compatibles avec l’exercice d’une activité professionnelle sédentaire en position assise, précisant que les restrictions empêchaient le travail debout avec le port de charges, les montées d’escaliers, d’escabeaux, d’échafaudages, et la marche en terrain accidenté (cf. rapport du 27 septembre 2017). Le Dr H______ a confirmé, après stabilisation de l’état de santé du recourant, que l’exigibilité retenue par le Dr E______ demeurait valable (cf. avis du 21 mars 2018). Les limitations fonctionnelles retenues par le Dr E______ correspondent pour l’essentiel à celles mentionnées par les autres médecins. En effet, le Dr E______ a indiqué qu’une réorientation professionnelle dans une activité sédentaire avec peu de port de charges, peu de station debout et la possibilité de faire des pauses fréquentes pour soulager le pied était recommandée (cf. rapport du 20 septembre 2018). Par la suite, ce médecin a mentionné, à titre de restrictions, la station debout prolongée, la montée et descente d’escaliers, ainsi que le port de charges (cf. rapport du 5 avril 2019). Le Prof. F______ a pour sa part suggéré une reconversion dans un métier assis (cf. rapport du 6 décembre 2017) et la Dresse L______ a considéré que le recourant ne pouvait pas porter des charges, monter et</w:t>
      </w:r>
    </w:p>
    <w:p>
      <w:r>
        <w:t>A/3173/2019 - 16/22 - descendre les escaliers de façon régulière, marcher plus de 30 minutes et tenir la station debout prolongée (cf. rapport du 23 décembre 2019). À l’exception de la Dresse L______, aucun des nombreux médecins consultés par le recourant ne s’est expressément déterminé sur le taux de la capacité de travail résiduelle dans une activité adaptée. En revanche, tous ont préconisé une reconversion professionnelle dès lors que l’activité habituelle ne pouvait plus être exercée, et ce sans émettre la moindre restriction (cf. rapports du Dr D______ des 30 août 2017, 20 septembre 2018, 5 avril et 9 octobre 2019, du Prof. F______ du 6 décembre 2017, de la Dresse I______ du 6 août 2018). S’agissant du rapport de la Dresse L______, il sied de relever que la médecin traitante, qui se trouve dans une relation particulière de confiance avec le recourant, n’a livré aucune justification à l’appui de sa vague appréciation de la capacité de travail, estimée « éventuellement » jusqu’à 80% (cf. rapport du 23 décembre 2019). d. Ces différents documents ne contiennent donc aucun indice concret permettant de mettre en cause les conclusions des médecins d’arrondissement de l’intimée.</w:t>
      </w:r>
    </w:p>
    <w:p>
      <w:r>
        <w:rPr>
          <w:b/>
        </w:rPr>
        <w:t>E. 14</w:t>
      </w:r>
    </w:p>
    <w:p>
      <w:r>
        <w:t>a. Le recourant se réfère au projet de décision de l’OAI qui fait état d’une capacité de travail de 50%, selon l’appréciation du SMR. b. Dans son rapport final du 13 novembre 2017, la Dresse J______ a fait siennes les conclusions du Dr E______ concernant le début de l’aptitude à la réadaptation, arrêté au 30 août 2018, ainsi que les limitations fonctionnelles qui concernaient exclusivement le travail debout avec le port de charges, les montées d’escaliers, d’escabeaux et d’échafaudages, et la marche en terrain accidenté. Elle a toutefois estimé que la capacité de travail du recourant était de 50% dans une activité adaptée, tout en précisant que celle-ci était susceptible de s’améliorer progressivement avec des mesures de réadaptation et en rappelant que le recourant n’avait pas travaillé depuis cinq ans en raison des multiples complications de sa fracture. Force est ainsi de constater que cette estimation du SMR visait avant tout à évaluer la capacité de l’intéressé à participer à une mesure professionnelle et qu’il ne s’agissait pas de se prononcer sur le taux définitif de sa capacité de travail. En outre, ce document ne contient aucune explication permettant de justifier, du point de vue médical, une restriction de 50% dans une activité sédentaire en position assise et n’indique pas les motifs pour lesquels il conviendrait de s’écarter de l’estimation du Dr E______ à laquelle la Dresse J______ se réfère pour le reste. Dans ses avis subséquents, le SMR n’a fait que confirmer ses conclusions du 13 novembre 2017, sans se déterminer sur l’éventuelle amélioration de la capacité de travail. Ainsi, dans son appréciation du 14 juin 2019, la Dresse J______ s’est contentée de constater que la situation était stabilisée et que le deuxième accident n’avait entraîné qu’une incapacité de travail limitée dans le temps. Le 5 novembre 2019, la Dresse K______ a considéré qu’il n’y avait aucune raison, à la lecture du dernier rapport du Dr D______, de remettre en question la prise de position relative à la capacité de travail résiduelle dans une activité adaptée qui était « au moins de</w:t>
      </w:r>
    </w:p>
    <w:p>
      <w:r>
        <w:t>A/3173/2019 - 17/22 - 50% ». Enfin, le 31 mars 2020, la Dresse L______ a résumé les derniers avis reçus et constaté que la Dresse L______ ne mentionnait pas d’autres atteintes à la santé que celles déjà retenues par le SMR et que le Dr E______ maintenait son appréciation antérieure. Par conséquent, les conclusions du rapport final du 13 novembre 2017 demeuraient également valables. c. Ces avis du SMR ne contiennent donc aucun argument motivé en faveur d’une capacité de travail de 50% uniquement.</w:t>
      </w:r>
    </w:p>
    <w:p>
      <w:r>
        <w:rPr>
          <w:b/>
        </w:rPr>
        <w:t>E. 15</w:t>
      </w:r>
    </w:p>
    <w:p>
      <w:r>
        <w:t>Force est donc de constater que le recourant ne se prévaut d’aucun rapport médical qui permettrait de remettre en cause le bien-fondé de l’appréciation des médecins d’arrondissement de l’intimée et ne fait état d’aucun élément objectif venant conforter sa propre estimation de sa capacité résiduelle de travail. On ne voit d’ailleurs pas pour quel motif les restrictions retenues, lesquelles concernent exclusivement la cheville et le pied droit, seraient incompatibles avec l’exercice à temps plein d’une activité sédentaire privilégiant la position assise, ce d’autant plus que le recourant peut marcher, sans aide ou moyen auxiliaire, sur un terrain plat durant 30 minutes avant de ressentir les premières douleurs (cf. rapports du Dr D______ du 5 avril 2019 et de la Dresse L______ du 23 décembre 2019).</w:t>
      </w:r>
    </w:p>
    <w:p>
      <w:r>
        <w:rPr>
          <w:b/>
        </w:rPr>
        <w:t>E. 16</w:t>
      </w:r>
    </w:p>
    <w:p>
      <w:r>
        <w:t>Eu égard à tout ce qui précède, la chambre de céans est d’avis qu’il n’existe aucun indice permettant de douter de la fiabilité des conclusions des médecins d’arrondissement. Elle considère donc comme établi, au degré de la vraisemblance prépondérante requis, que le recourant dispose d’une pleine et entière capacité de travail dans une activité adaptée, sans diminution de rendement, de sorte que la décision sur opposition du 17 juillet 2019 n’est pas critiquable sur ce point. Les mesures d’instruction complémentaire sollicitées par le recourant ne sont donc pas justifiées.</w:t>
      </w:r>
    </w:p>
    <w:p>
      <w:r>
        <w:rPr>
          <w:b/>
        </w:rPr>
        <w:t>E. 17</w:t>
      </w:r>
    </w:p>
    <w:p>
      <w:r>
        <w:t>Il convient à présent de déterminer le degré d’invalidité du recourant.</w:t>
      </w:r>
    </w:p>
    <w:p>
      <w:r>
        <w:rPr>
          <w:b/>
        </w:rPr>
        <w:t>E. 18</w:t>
      </w:r>
    </w:p>
    <w:p>
      <w:r>
        <w:t>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137 V 334 consid. 3.3.1). Pour procéder à la comparaison des revenus, il convient de se placer au moment de la naissance du droit à la rente ; les revenus avec et sans invalidité doivent être déterminés par rapport à un même moment et les modifications de ces revenus</w:t>
      </w:r>
    </w:p>
    <w:p>
      <w:r>
        <w:t>A/3173/2019 - 18/22 - susceptibles d'influencer le droit à la rente survenues jusqu'au moment où la décision est rendue doivent être prises en compte (ATF 129 V 222 ; ATF 128 V 174).</w:t>
      </w:r>
    </w:p>
    <w:p>
      <w:r>
        <w:rPr>
          <w:b/>
        </w:rPr>
        <w:t>E. 19</w:t>
      </w:r>
    </w:p>
    <w:p>
      <w:r>
        <w:t>a.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b.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135 V 297 consid. 5.2 ; ATF 129 V 472 consid. 4.2.1). Dans ce cas, il y a lieu de se fonder sur les données les plus récentes, soit celles qui étaient accessibles au moment où la décision litigieuse a été rendue (143 V 295 consid. 4 ; arrêt du Tribunal fédéral 8C_655/2016 du 4 août 2017 consid. 6.3 et la référence). En règle générale, il convient de se fonder sur les salaires mensuels indiqués dans la table ESS TA1, à la ligne « total secteur privé » (ATF 124 V 321 consid. 3b/aa). On se réfère alors à la statistique des salaires bruts standardisés, en se fondant toujours sur la médiane ou valeur centrale (ATF 124 V 321 consid. 3b/bb). À noter que la table TA1 des ESS publiées jusqu’en 2010 correspond à la table TA1_skill_level des ESS publiées depuis 2012 (cf. lettre circulaire AI n° 328 du 22 octobre 2014).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w:t>
      </w:r>
    </w:p>
    <w:p>
      <w:r>
        <w:t>A/3173/2019 - 19/22 -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c.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L'abattement ne peut résulter de déductions distinctes pour des facteurs séparés à prendre en considération. Une telle fragmentation n'est pas compatible avec une évaluation globale des effets des empêchements sur le revenu d'invalide qui suppose un examen des facteurs considérés dans leur ensemble et non pas une addition schématique de pourcentages (arrêt du Tribunal fédéral 9C_751/2011 du 30 avril 2012 consid. 4.2.2). Il n'est pas justifié de quantifier séparément chacun des facteurs de réduction entrant en ligne de compte et de les additionner, car on perdrait ainsi de vue les effets réciproques (ATF 126 V 75 consid. 5b/bb). Selon la jurisprudence, le manque d’expérience d’un assuré dans une nouvelle profession ne constitue pas un facteur susceptible de jouer un rôle significatif sur les perspectives salariales, lorsque les activités envisagées (simples et répétitives de niveau de compétence 1) ne requièrent ni formation, ni expérience professionnelle spécifique. En outre tout nouveau travail va de pair avec une période d’apprentissage, de sorte qu’il n’y a pas lieu d’effectuer un abattement à ce titre</w:t>
      </w:r>
    </w:p>
    <w:p>
      <w:r>
        <w:t>A/3173/2019 - 20/22 - (arrêts du Tribunal fédéral 8C_103/2018 et 8C_131/2018 du 25 juillet 2018 consid. 5.2 et les références citées). Le manque de formation n'est pas déterminant dès lors qu'il s'agit d'un facteur étranger à l'invalidité (arrêt du Tribunal fédéral 9C_474/2010 du 11 avril 2011 consid. 3.2). Des connaissances linguistiques limitées sont également un facteur étranger à l'invalidité (arrêt du Tribunal fédéral 9C_344/2015 du 25 novembre 2015 consid. 2.3). En outre, les activités simples et répétitives correspondant au niveau 1 dès l'ESS 2012 ne supposent par définition pas de bonnes connaissances linguistiques (arrêt du Tribunal fédéral 9C_426/2014 du 18 août 2014 consid. 4.2). En ce qui concerne les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arrêt du Tribunal fédéral 9C_371/2013 du 22 août 2013 consid. 5.3). Quant à l'âge, il ne représente qu'un facteur parmi d'autres qui légitiment une déduction du salaire statistique ; une déduction maximale ne peut dès lors se justifier que lorsque plusieurs des éléments retenus par la jurisprudence se trouvent réunis chez un assuré (arrêt du Tribunal fédéral des assurances U 311/02 du 4 février 2003 consid. 4.3).</w:t>
      </w:r>
    </w:p>
    <w:p>
      <w:r>
        <w:rPr>
          <w:b/>
        </w:rPr>
        <w:t>E. 20</w:t>
      </w:r>
    </w:p>
    <w:p>
      <w:r>
        <w:t>a. En l’occurrence, la chambre de céans rappelle tout d’abord que le recourant ne conteste pas le revenu annuel sans invalidité, fixé par l’intimée à CHF 56'332.-. Ce montant n’apparait en outre pas critiquable et correspond aux indications communiquées par C______ pour 2019 (salaire horaire de CHF 25.-, + indemnité pour vacances et jours fériés de 8.33% et gratification de 8.33%). b. Quant au revenu d’invalide, l’intimée s’est fondée à juste titre sur les ESS 2016, dernières statistiques publiées au moment du prononcé de la décision. Compte tenu de l'activité de substitution raisonnablement exigible de la part du recourant dans un emploi adapté à son état de santé, le salaire de référence est celui auquel peuvent prétendre les hommes effectuant des tâches physiques ou manuelles simples (niveau de compétences 1) dans le secteur privé. La prise en compte du salaire statistique total, toutes activités confondues, est conforme à la jurisprudence fédérale puisque le recourant a travaillé en qualité de nettoyeur durant trois ans seulement, soit entre la date de son arrivée en Suisse en 2009 et son accident de mars 2012. De plus, il n'y a aucune raison particulière, notamment liée à ses limitations fonctionnelles, dont il faudrait inférer qu'il ne pourrait pas répondre aux exigences d'une activité issue du secteur de la production. Il y a donc lieu de se fonder sur le salaire statistique mensuel brut total de CHF 5'340.- (ESS 2016,</w:t>
      </w:r>
    </w:p>
    <w:p>
      <w:r>
        <w:t>A/3173/2019 - 21/22 - TA1_tirage_skill_ level, niveau de compétences 1, total, hommes), ce qui correspond à un montant annuel de CHF 64'080.-. Compte tenu de l'évolution des salaires nominaux (augmentation de 0.4% en 2017, 0.5% en 2018 et 0.5% au premier trimestre 2019, Office fédéral de la statistique - évolution des salaires nominaux, des prix à la consommation et des salaires réels 1976-2018, et estimation trimestrielle en 2019), on obtient un revenu annuel de CHF 64'981.30 pour 2019. Enfin, comme les salaires bruts standardisés tiennent compte d'un horaire de travail de 40 heures, soit une durée hebdomadaire inférieure à la moyenne usuelle dans les entreprises en 2019 (41.7 heures, Office fédéral de la statistique – statistique de la durée normale du travail dans les entreprises), ce montant doit être porté à CHF 67'743.- (CHF 64'981.30 x 41.7 / 40). c. En ce qui concerne l’abattement, rien ne justifie de s’écarter de l’appréciation de l’intimée. En effet, l’absence de formation n'est pas déterminante et la méconnaissance du français est sans incidence dans le cas présent, étant rappelé que l’activité adaptée est un travail de niveau de compétences 1 qui ne suppose par définition pas de bonnes connaissances linguistiques. Le critère de la nationalité et de la catégorie du permis de séjour ne peut pas motiver une déduction, dès lors que le recourant est titulaire d’un livret C. De même, son âge, soit 48 ans au moment de la décision attaquée, et le taux d’activité, soit 100%, ne sauraient être pris en considération. Même si l’intéressé a été absent de façon prolongée du marché du travail, puisqu’il est inactif depuis son accident de 2012, il sied de rappeler qu’il a pu bénéficier de plusieurs mesures d’ordre professionnel de la part de l’OAI et qu’il a exercé différentes activités au Portugal dans des domaines très variés (sécurité, livraison, restauration) avant de s’installer en Suisse, ce qui démontre un potentiel d'adaptation de sa part. En définitive, seules les limitations fonctionnelles du recourant justifient une déduction. Une réduction de 10% paraît appropriée du fait que l’intéressé doit désormais exercer une activité en position essentiellement assise. Partant, la chambre de céans ne reviendra pas sur l'étendue de l'abattement dans le cas d'espèce. d. Le revenu avec invalidité s’élève donc à CHF 60'968.70.</w:t>
      </w:r>
    </w:p>
    <w:p>
      <w:r>
        <w:rPr>
          <w:b/>
        </w:rPr>
        <w:t>E. 21</w:t>
      </w:r>
    </w:p>
    <w:p>
      <w:r>
        <w:t>Eu égard à ce qui précède, le calcul du degré d’invalidité effectué par l’intimée peut être confirmé. Il en découle que le recourant n’a effectivement pas le droit à une rente.</w:t>
      </w:r>
    </w:p>
    <w:p>
      <w:r>
        <w:rPr>
          <w:b/>
        </w:rPr>
        <w:t>E. 22</w:t>
      </w:r>
    </w:p>
    <w:p>
      <w:r>
        <w:t>Au vu de ce qui précède, le recours est rejeté.</w:t>
      </w:r>
    </w:p>
    <w:p>
      <w:r>
        <w:rPr>
          <w:b/>
        </w:rPr>
        <w:t>E. 23</w:t>
      </w:r>
    </w:p>
    <w:p>
      <w:r>
        <w:t>Pour le surplus, la procédure est gratuite (art. 61 let. a LPGA).</w:t>
      </w:r>
    </w:p>
    <w:p>
      <w:r>
        <w:t>A/3173/2019 - 22/22 -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