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ATAS/418/2017 vom 22. Mai 2017</w:t>
      </w:r>
    </w:p>
    <w:p>
      <w:r>
        <w:t>GE Cour de justice, 2017-05-22, FR</w:t>
      </w:r>
    </w:p>
    <w:p>
      <w:r>
        <w:rPr>
          <w:b/>
        </w:rPr>
        <w:t xml:space="preserve">Quelle: </w:t>
      </w:r>
      <w:r>
        <w:t>https://mcp.opencaselaw.ch/entscheid/ge_gerichte_ATAS_418_2017</w:t>
      </w:r>
    </w:p>
    <w:p>
      <w:r>
        <w:t>FR: GE_GERICHTE ATAS/418/2017 du 22 mai 2017</w:t>
      </w:r>
    </w:p>
    <w:p>
      <w:r>
        <w:t>IT: GE_GERICHTE ATAS/418/2017 del 22 maggio 2017</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en temps utile, le recours est recevable (art. 60 LPGA).</w:t>
      </w:r>
    </w:p>
    <w:p>
      <w:r>
        <w:rPr>
          <w:b/>
        </w:rPr>
        <w:t>E. 3</w:t>
      </w:r>
    </w:p>
    <w:p>
      <w:r>
        <w:t>L'objet du litige porte sur la suspension de douze jours du droit à l'indemnité de la recourante.</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w:t>
      </w:r>
    </w:p>
    <w:p>
      <w:r>
        <w:t>A/4257/2016 - 4/7 - L'article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 En tant qu'autorité de surveillance, le Secrétariat d’État à l’économie (ci-après :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w:t>
      </w:r>
    </w:p>
    <w:p>
      <w:r>
        <w:t>A/4257/2016 - 5/7 -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d.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Boris RUBIN, op. cit., ch. 17 et 63 ad art. 30). e. Selon l’art. 30 al. 2 LACI, l’autorité cantonale prononce les suspensions au sens de l’al. 1 let. c, d et g, de même qu’au sens de l’al. 1 let. e lorsqu’il s’agit d’une violation de l’obligation de fournir des renseignements à ladite autorité ou à l’office du travail, ou de les aviser. Dans les autres cas, ce sont les caisses qui statuent. f. Il résulte du barème des suspensions établi par le Secrétariat d’Etat à l’économie (SECO) que lorsque l’assuré n’observe pas les instructions de l’OCE, en ne se rendant notamment pas à un entretien de conseil, sans excuse valable, l’autorité doit infliger une sanction de 5 à 8 jours lors du premier manquement et de 9 à 15 jours lors du second manquement (Bulletin LACI IC / D72). La Cour de céans doit se limiter à examiner si l'administration a fait un usage critiquable de son pouvoir d'appréciation (ATF du 16 avril 2008, 8C 316/07).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(ATF du 18 juillet 2005 C 123/04).</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w:t>
      </w:r>
    </w:p>
    <w:p>
      <w:r>
        <w:t>A/4257/2016 - 6/7 -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6</w:t>
      </w:r>
    </w:p>
    <w:p>
      <w:r>
        <w:t>En l'espèce, la recourante a allégué qu’elle n’avait pas pu se rendre à l’entretien de conseil du 7 octobre 2016 car elle était à Paris, voyage surprise organisé par sa famille et qu’elle avait dû prendre un train depuis Paris arrivant à Genève à 10h27 car elle avait raté son vol Paris-Genève de 4h18 ; elle en avait informé son conseiller par courriel du 7 octobre 2016 à 4h39. Sommée par la chambre de céans de s’expliquer lors d’une audience de comparution personnelle des parties du 13 mars 2017, puis de transmettre des justificatifs de ses allégations, la recourante ne s’est pas manifestée, sans explications. Au vu des pièces au dossier, le recours ne peut qu’être rejeté, la recourante ayant échoué à ramener la preuve de l’absence de faute lors de son défaut à l’entretien de conseil du 7 octobre 2016 et la quotité de la sanction, soit une suspension de douze jours de son droit à l’indemnité, se situant dans la fourchette prévue par la LACI et le Bulletin LACI, en présence d’un second manquement.</w:t>
      </w:r>
    </w:p>
    <w:p>
      <w:r>
        <w:rPr>
          <w:b/>
        </w:rPr>
        <w:t>E. 7</w:t>
      </w:r>
    </w:p>
    <w:p>
      <w:r>
        <w:t>Pour le surplus la procédure est gratuite.</w:t>
      </w:r>
    </w:p>
    <w:p>
      <w:r>
        <w:t>A/4257/2016 - 7/7 -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