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ATAS/417/2024 vom 30. Mai 2024</w:t>
      </w:r>
    </w:p>
    <w:p>
      <w:r>
        <w:t>GE Cour de justice, 2024-05-30, FR</w:t>
      </w:r>
    </w:p>
    <w:p>
      <w:r>
        <w:rPr>
          <w:b/>
        </w:rPr>
        <w:t xml:space="preserve">Quelle: </w:t>
      </w:r>
      <w:r>
        <w:t>https://mcp.opencaselaw.ch/entscheid/ge_gerichte_ATAS_417_2024</w:t>
      </w:r>
    </w:p>
    <w:p>
      <w:r>
        <w:t>FR: GE_GERICHTE ATAS/417/2024 du 30 mai 2024</w:t>
      </w:r>
    </w:p>
    <w:p>
      <w:r>
        <w:t>IT: GE_GERICHTE ATAS/417/2024 del 30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Le recours n’étant pas pendant à cette date, il est soumis au nouveau droit (art. 82a LPGA a contrario).</w:t>
      </w:r>
    </w:p>
    <w:p>
      <w:r>
        <w:rPr>
          <w:b/>
        </w:rPr>
        <w:t>E. 3</w:t>
      </w:r>
    </w:p>
    <w:p>
      <w:r>
        <w:t>La modification du 25 septembre 2015 de la LAA est entrée en vigueur le 1er janvier 2017. Dans la mesure où l’événement litigieux est survenu après cette date, le droit du recourant aux prestations d'assurance est soumis au nouveau droit (cf. dispositions transitoires relatives à la modification du 25 septembre 2015 a contrario). Les dispositions légales seront citées ci-après dans leur teneur en vigueur depuis le 1er janvier 2017.</w:t>
      </w:r>
    </w:p>
    <w:p>
      <w:r>
        <w:rPr>
          <w:b/>
        </w:rPr>
        <w:t>E. 4</w:t>
      </w:r>
    </w:p>
    <w:p>
      <w:r>
        <w:t>Le recours ayant été déposé selon les forme et délai prévus par la loi (art. 56ss LPGA), il est recevable. S’agissant de certaines formulations du recours, dont l’intimée déplore la virulence, on rappellera que les art. 64 et 65 de la loi sur la procédure</w:t>
      </w:r>
    </w:p>
    <w:p>
      <w:r>
        <w:t>A/78/2023 - 11/18 - administrative du 12 septembre 1985 (LPA-GE - E 5 10) ne sanctionnent pas d’irrecevabilité un recours au motif qu’il serait inconvenant. Partant, l’éventuelle incompatibilité des propos du mandataire du recourant avec le « respect dû par un avocat aux autorités » (cf. art. 27 de la loi sur la profession d’avocat du 26 avril 2002 [LPAv - E 6 10]) – point que la Cour de céans n’examinera pas – n’a pas d’incidence sur la recevabilité du recours.</w:t>
      </w:r>
    </w:p>
    <w:p>
      <w:r>
        <w:rPr>
          <w:b/>
        </w:rPr>
        <w:t>E. 5</w:t>
      </w:r>
    </w:p>
    <w:p>
      <w:r>
        <w:t>Le litige porte sur le droit du recourant à la prise en charge par l’intimée des conséquences de ses troubles à l’épaule gauche.</w:t>
      </w:r>
    </w:p>
    <w:p>
      <w:r>
        <w:rPr>
          <w:b/>
        </w:rPr>
        <w:t>E. 6</w:t>
      </w:r>
    </w:p>
    <w:p>
      <w:r>
        <w:t>Aux termes de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avec l'événement assuré (ATF 119 V 335 consid. 1).</w:t>
      </w:r>
    </w:p>
    <w:p>
      <w:r>
        <w:rPr>
          <w:b/>
        </w:rPr>
        <w:t>E. 6.1</w:t>
      </w:r>
    </w:p>
    <w:p>
      <w:r>
        <w:t>L’art. 4 LPGA définit l’accident comme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(ATF 142 V 219 consid. 4.3.1). Il suffit que l'un d'entre eux fasse défaut pour que l'événement ne puisse pas être qualifié d'accident (arrêt du Tribunal fédéral 8C_26/2019 du</w:t>
      </w:r>
    </w:p>
    <w:p>
      <w:r>
        <w:rPr>
          <w:b/>
        </w:rPr>
        <w:t>E. 6.2</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qu’une déchirure des tendons du sous- et du sus-épineux est une lésion au sens de l’art. 6 al. 2 let. f LPGA (arrêt du Tribunal fédéral 8C_412/2019 du 9 juillet 2020 consid. 5.1). Dans son Message à l’appui de la révision de l’art. 6 al. 2 LAA, le Conseil fédéral a rappelé que l’exigence d’une cause extérieure pour les lésions assimilées à un accident avait été source de difficultés pour les assureurs-accidents et d’insécurité pour les assurés, raison pour laquelle une nouvelle réglementation faisant abstraction de l’existence d’une telle cause était proposée. En cas de lésion corporelle figurant dans la liste, il y a désormais présomption que l’on est en présence d’une lésion semblable aux conséquences d’un accident, qui doit être prise en charge par l’assureur-accidents. Ce dernier peut toutefois se libérer de son obligation s’il apporte la preuve que la lésion est manifestement due à l’usure ou à une maladie (Message du Conseil fédéral relatif à la modification de la loi fédérale sur l’assurance-accidents du 30 mai 2008, FF 2008 4893). Le Tribunal fédéral a précisé que selon l’art. 6 al. 2 LAA dans sa nouvelle teneur, lorsqu'une lésion corporelle comprise dans la liste est diagnostiquée, l'assureur-accidents est tenu à prestations aussi longtemps qu'il n'apporte pas la preuve que cette lésion est due de manière prépondérante, c'est-à-dire à plus de 50% de tous les facteurs en cause, à l'usure ou à une maladie. Dans le cadre de cette preuve libératoire, la question de savoir s'il y a eu un événement initial reconnaissable et identifiable reste déterminante pour délimiter les obligations respectives de l'assureur- accidents et de l'assureur-maladie (ATF 146 V 51 consid. 8.6). Lorsque l’assuré a subi un accident et souffre d’une lésion corporelle au sens de l'art. 6 al. 2 LAA, l’assureur-accidents doit prendre en charge les suites de la lésion en cause sur la base de l'art. 6 al. 1 LAA. En revanche, en l'absence d'un accident au sens juridique, le cas doit être examiné sous l'angle de l'art. 6 al. 2 LAA (ATF 146 V 51 consid. 9.1). Ainsi, lorsqu’un événement est constitutif d’un accident, la cause doit être examinée exclusivement sous l'angle de l'art. 6 al. 1 LAA même en cas de lésion de la liste (arrêts du Tribunal fédéral 8C_459/2019 du 11 septembre 2020 consid. 5.1). 7. Savoir si l'événement assuré et l'atteinte à la santé sont liés par un rapport de causalité naturelle est une question de fait que l'administration, ou le cas échéant le juge, examine en se fondant essentiellement sur des renseignements d'ordre</w:t>
      </w:r>
    </w:p>
    <w:p>
      <w:r>
        <w:t>A/78/2023 - 13/18 - médical, et qui doit être tranchée à la lumière de la règle du degré de vraisemblance prépondérante, appliquée généralement à l'appréciation des preuves dans l'assurance sociale (ATF 142 V 435 consid. 1). 7.1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7.2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7.3 Lorsqu'un cas d'assurance est réglé sans avoir recours à une expertise dans une procédure au sens de l'art. 44 LPGA, l'appréciation des preuves est soumise à des exigences sévères (arrêt du Tribunal fédéral 8C_606/2021 du 5 juillet 2022 consid. 3.2). S'il existe un doute même minime sur la fiabilité et la validité des constatations d'un médecin de l'assurance, il y a lieu de procéder à des investigations complémentaires (ATF 139 V 225 consid. 5.2).</w:t>
      </w:r>
    </w:p>
    <w:p>
      <w:r>
        <w:t>A/78/2023 - 14/18 - 8. En l’espèce, l’intimée s’est fondée sur l’avis du Dr F______ pour nier tout lien de causalité entre l’accident subi le 9 juin 2021 et les troubles à l’épaule gauche du recourant. On relèvera en premier lieu qu’on peut s’interroger sur le point de savoir si le geste d’extension du bras afin de retenir des plaques qui étaient en train de tomber du chariot répondrait à la définition légale d’un accident s’il était analysé isolément, le critère du caractère extraordinaire d’un tel geste ne paraissant pas nécessairement réalisé. Cette question peut cependant rester ouverte, dès lors que l’intimée n’en tire pas argument et qu’elle ne conteste pas que l’événement du 9 juin 2021 constitue un accident au sens de la loi. Partant, conformément à la jurisprudence précitée, la cause doit être examinée exclusivement sous l'angle de l'art. 6 al. 1 LAA. Le médecin d’arrondissement de l’intimée conclut à un phénomène dégénératif, en se fondant notamment sur le délai d’apparition des douleurs et sur l’analyse des documents radiologiques. Il est vrai qu’aucun des rapports médicaux établis dans les suites proches de l’accident ne relate que le recourant aurait signalé des douleurs à l’épaule. Le médecin d’arrondissement et le Dr E______ – rejoint sur ce point par le Dr G______ –, divergent cependant sur la portée de l’absence de douleurs dans l’admission du caractère traumatique ou non de l’atteinte à l’épaule. Par ailleurs, on ne saurait retenir que les douleurs n’ont été alléguées qu’à la consultation du Dr E______ en septembre 2021. En effet, l’échographie de l’épaule a été réalisée le 4 août 2021 en raison d’une diminution de force d’élévation latérale et de douleurs à l’effort. Quant aux conclusions que le médecin d’arrondissement tire de l’analyse des images, elles sont contredites de manière circonstanciée par le Dr E______, qui a étayé sa prise de position par de nombreuses références à la littérature et des statistiques. Si la prévalence moyenne dans certains segments de la population d’une atteinte déterminée ne suffit certes pas en soi à conclure à son caractère traumatique ou dégénératif dans un cas particulier, lequel doit être analysé en fonction des éléments concrets, la position contraire et les explications particulièrement fouillées du Dr E______ sont de nature à susciter des doutes sur les conclusions du Dr F______, quand bien même celles-ci ont été motivées. A cela s’ajoute que le Dr G______ a déclaré privilégier lui aussi l’hypothèse d’une lésion traumatique, tant dans son rapport du 6 octobre 2021 que lors de son témoignage. On relèvera certes qu’il a dans ce cadre évoqué une rupture récente, d’une semaine ou plus, hypothèse qui semblerait incompatible avec une rupture survenue le 9 juin 2021. Cela étant, ce seul élément ne justifie pas qu’on exclue une origine traumatique de la rupture de la coiffe, au vu des autres avis au dossier. Le rapport établi par la Dresse I______ tend également à corroborer une origine traumatique de la lésion.</w:t>
      </w:r>
    </w:p>
    <w:p>
      <w:r>
        <w:t>A/78/2023 - 15/18 - Compte tenu de ces éléments, il existe des doutes sur les conclusions du Dr F______, et la Cour de céans ne dispose pas d’éléments objectifs qui lui permettraient de départager les opinions des différents spécialistes qui se sont déterminés. Dans ces circonstances, en l’absence d’expertise confiée par l’intimée à un médecin externe spécialisé en chirurgie orthopédique, il se justifie, conformément à la jurisprudence, de lui renvoyer la cause afin qu’elle mette en œuvre une telle mesure, conformément aux exigences prévues à l’art. 44 LPGA. Cette expertise devra être confiée à un spécialiste de l’épaule, par exemple le docteur J______, spécialiste FMH en chirurgie orthopédique, lequel pourra s’adjoindre le concours d’un radiologue spécialiste en radiologie ostéo-articulaire dans la mesure qu’il estime nécessaire. 9. L’intimée ayant également examiné le droit aux prestations sous l’angle d’une maladie professionnelle, il convient de rappeler ce qui suit. 9.1 L’art. 9 al. 1 LAA dispose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Sur la base de l’art. 9 al. 1 LAA, le Conseil fédéral a énuméré à l'annexe 1 de l'OLAA (RS 832.202), à laquelle renvoie l'art. 14 de l’ordonnance sur l'assurance- accidents du 20 décembre 1982 (OLAA - RS 832.202), les substances nocives et les maladies dues à certains travaux. Cette énumération est exhaustive (arrêt du Tribunal fédéral 8C_117/2016 du 27 janvier 2017 consid. 3.2.1). 9.2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La condition d'un lien exclusif ou nettement prépondérant au sens de l'art. 9 al. 2 LAA – parfois appelé causalité qualifiée – n'est réalisée que si la maladie a été causée à 75% au moins par l'exercice de l'activité professionnelle (arrêt du Tribunal fédéral 8C_516/2020 du 3 février 2021 consid. 3.2.1).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 arrêt du Tribunal fédéral 8C_516/2020 du</w:t>
      </w:r>
    </w:p>
    <w:p>
      <w:r>
        <w:t>A/78/2023 - 16/18 - 3 février 2021 consid. 3.2.1 et 3.2.2 et les références). Cette condition vise à ne pas affaiblir la distinction entre une maladie au sens de l'assurance-maladie et une maladie professionnelle selon la LAA. Il est ainsi exigé que l'assuré soit exposé à un risque professionnel typique (ATF 126 V 183 consid. 2b). La question de savoir si l’exigence d’une relation exclusive ou nettement prépondérante est remplie doit être appréciée au vu de données épidémiologiques médicalement reconnues (Jean-Maurice FRÉSARD / Margrit MOSER-SZELESS, L'assurance- accidents obligatoire in Schweizerisches Bundesverwaltungsrecht [SBVR], 3ème éd., 2016, n. 164).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(arrêt du Tribunal fédéral 8C_215/2018 du 4 septembre 2018 consid. 3.2). Ainsi, dans la mesure où la preuve d'une relation de causalité qualifiée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(arrêts du Tribunal fédéral 8C_73/2017 du 6 juillet 2017 consid. 2.2 et 8C_746/2012 du 29 octobre 2012 consid. 5) 9.3 En l’espèce, la rupture de la coiffe des rotateurs ne figure pas dans la liste des atteintes au sens de l’art. 9 al. 1 LAA, de sorte que la survenance d’une maladie professionnelle doit être analysée selon la clause générale. Le Dr H______ conclut à un état dégénératif tel que retenu par le Dr F______. Comme on l’a vu, la nature dégénérative de la lésion n’est à ce stade pas démontrée au degré de la vraisemblance prépondérante. Cependant, si les mesures d’instruction complémentaires à intervenir devaient confirmer cette hypothèse, il y aurait néanmoins lieu de nier que ladite lésion relève d’une maladie professionnelle, au vu de l’appréciation du médecin du travail. Celui-ci a en effet exposé que les causes d’une arthrose ne sont pas spécifiquement liées à l’activité exercée par le recourant, et aucun avis médical contraire ne permet de remettre en cause cette appréciation. La décision de l’intimée doit ainsi être confirmée en tant qu’elle refuse la prise en charge des suites de la lésion de la coiffe des rotateurs au motif que celle-ci ne relève pas d’une maladie professionnelle. 10. Le recours est partiellement admis.</w:t>
      </w:r>
    </w:p>
    <w:p>
      <w:r>
        <w:t>A/78/2023 - 17/18 - Le recourant a droit à des dépens, qui seront fixés à CHF 2'000.- (art. 61 let. g LPGA). Pour le surplus, la procédure est gratuite (art. 61 let. fbis LPGA a contrario).</w:t>
      </w:r>
    </w:p>
    <w:p>
      <w:r>
        <w:t>***</w:t>
      </w:r>
    </w:p>
    <w:p>
      <w:r>
        <w:t>A/78/2023 - 18/18 - PAR CES MOTIFS, LA CHAMBRE DES ASSURANCES SOCIALES : Statuant À la forme :</w:t>
      </w:r>
    </w:p>
    <w:p>
      <w:r>
        <w:rPr>
          <w:b/>
        </w:rPr>
        <w:t>E. 11</w:t>
      </w:r>
    </w:p>
    <w:p>
      <w:r>
        <w:t>septembre 2019 consid. 3.1).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(arrêt du Tribunal fédéral 8C_827/2017 du 18 mai 2018 consid. 2.1). L'existence d'un facteur extérieur est en principe admise en cas de mouvement non coordonné, à savoir lorsque le déroulement habituel et normal d'un mouvement corporel est interrompu par un empêchement non programmé, lié à l'environnement, tel le fait de glisser, de trébucher, de se heurter à un objet ou d'éviter une chute. Le facteur extérieur – modification entre le corps et l'environnement extérieur – constitue alors en même temps le facteur extraordinaire en raison du déroulement non programmé du mouvement (arrêt du Tribunal fédéral 8C_605/2020 du 8 juin 2021 consid. 3.1). Pour des lésions dues à l'effort (soulèvement, déplacement de charges notamment), il faut examiner de cas en cas si l'effort doit être considéré comme extraordinaire, en tenant compte de la</w:t>
      </w:r>
    </w:p>
    <w:p>
      <w:r>
        <w:t>A/78/2023 - 12/18 - constitution physique et des habitudes professionnelles ou autres de l'intéressé (arrêt du Tribunal fédéral 8C_404/2020 du 11 juin 2021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