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ATAS/417/2021 vom 6. Mai 2021</w:t>
      </w:r>
    </w:p>
    <w:p>
      <w:r>
        <w:t>GE Cour de justice, 2021-05-06, FR</w:t>
      </w:r>
    </w:p>
    <w:p>
      <w:r>
        <w:rPr>
          <w:b/>
        </w:rPr>
        <w:t xml:space="preserve">Quelle: </w:t>
      </w:r>
      <w:r>
        <w:t>https://mcp.opencaselaw.ch/entscheid/ge_gerichte_ATAS_417_2021</w:t>
      </w:r>
    </w:p>
    <w:p>
      <w:r>
        <w:t>FR: GE_GERICHTE ATAS/417/2021 du 6 mai 2021</w:t>
      </w:r>
    </w:p>
    <w:p>
      <w:r>
        <w:t>IT: GE_GERICHTE ATAS/417/2021 del 6 maggio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5</w:t>
      </w:r>
    </w:p>
    <w:p>
      <w:r>
        <w:t>a. Le délai de recours est de trente jours (art. 56 LPGA ; art. 62 al. 1 de la loi sur la procédure administrative du 12 septembre 1985 [LPA - E 5 10]). L’art. 38 LPGA prévoit que si le délai, compté par jours ou par mois, doit être communiqué aux parties, il commence à courir le lendemain de la communication (al. 1). Les délais en jours ou en mois fixés par la loi ou par l’autorité ne courent pas du 18 décembre au 2 janvier inclusivement (al. 3 let. c). b. En l’occurrence, la décision litigieuse du 12 décembre 2018 a été notifiée au conseil du recourant le lendemain, de sorte que le délai de recours est arrivé à échéance le 28 janvier 2019, compte tenu de la suspension précitée. L’enveloppe du recours a été timbrée le 29 janvier 2019. Cependant, une recherche sur le site Internet de la Poste permet de confirmer que cet acte, daté du 28 janvier 2019 et envoyé par courrier recommandé, a bien été déposé le 28 janvier 2019, à 23h55.</w:t>
      </w:r>
    </w:p>
    <w:p>
      <w:r>
        <w:t>A/372/2019 - 14/26 - c. Partant le recours, interjeté dans la forme et le délai prévus par la loi, est recevable.</w:t>
      </w:r>
    </w:p>
    <w:p>
      <w:r>
        <w:rPr>
          <w:b/>
        </w:rPr>
        <w:t>E. 6</w:t>
      </w:r>
    </w:p>
    <w:p>
      <w:r>
        <w:t>Le litige porte sur le taux de la rente d’invalidité et le taux de l’indemnité pour atteinte à l’intégrité du recourant.</w:t>
      </w:r>
    </w:p>
    <w:p>
      <w:r>
        <w:rPr>
          <w:b/>
        </w:rPr>
        <w:t>E. 7</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Aux termes de l'art. 10 al. 1 LAA, l'assuré a droit au traitement médical approprié des lésions résultant de l'accident. Conformément à l’art. 16 LAA, s'il est totalement ou partiellement incapable de travailler (art. 6 LPGA) à la suite de l'accident, il a droit à une indemnité journalière (al. 1). Le droit à l'indemnité prend naissance le troisième jour qui suit celui de l'accident et s'éteint dès que l'assuré a recouvré sa pleine capacité de travail, dès qu'une rente est versée ou dès que l'assuré décède (al. 2). L’art. 18 al. 1 LAA dispose que si l'assuré est invalide (art. 8 LPGA) à 10% au moins par suite de l'accident,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w:t>
      </w:r>
    </w:p>
    <w:p>
      <w:r>
        <w:rPr>
          <w:b/>
        </w:rPr>
        <w:t>E. 8</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A/372/2019 - 15/26 - c.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 ATF 129 V 472 consid. 4.2.1). La jurisprudence de l'ATF 129 V 472 consid. 4.2.2, développée en rapport avec la violation du droit d'être entendu (art. 29 de la Constitution fédérale de la Confédération suisse du 18 avril 1999 [Cst. - RS 101]) et de l'égalité des armes (art. 6 par 1 de la Convention de sauvegarde des droits de l’homme et des libertés fondamentales du 4 novembre 1950 [CEDH - RS 0.101]), a fixé les conditions auxquelles devait être soumise la prise en compte des DPT pour calculer le revenu d'invalide. Le Tribunal fédéral a précisé que l'assuré devait avoir la possibilité de se déterminer sur les DPT permettant d’établir le revenu dans un cas d'espèce. Pour ce faire, le Tribunal fédéral a mentionné que les critiques de l'assuré à l'encontre des DPT devaient être faites en règle générale dans son opposition à la décision de l'assureur-accidents, de façon à ce que celui-ci puisse se déterminer dans la décision sur opposition. Cette manière de faire impose donc à l'assureur-accidents de donner toutes les informations et les détails sur les DPT dans la décision initiale (cf. arrêt du Tribunal fédéral 8C_408/2014 du 23 mars 2015 consid. 6.3).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Les éventuelles objections de l'assuré sur le choix et sur la représentativité des DPT dans un cas concret doivent être soulevées, en principe, durant la procédure d'opposition (ATF 129 V 472 consid. 4.2.2). La jurisprudence a rappelé que le caractère convenable d'un DPT en regard de l'éloignement entre le lieu de travail</w:t>
      </w:r>
    </w:p>
    <w:p>
      <w:r>
        <w:t>A/372/2019 - 16/26 - prévu et le domicile ne peut pas être déterminé à l'avance et d'une manière générale, mais qu'il doit être examiné en fonction de la situation de santé et personnelle de l'assuré ainsi que de son obligation de réduire le dommage (arrêt du Tribunal fédéral 8C_408/2014 du 23 mars 2015 consid. 7.3).</w:t>
      </w:r>
    </w:p>
    <w:p>
      <w:r>
        <w:rPr>
          <w:b/>
        </w:rPr>
        <w:t>E. 9</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b. Selon la jurisprudence,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Le taux d'une atteinte à l'intégrité doit être évalué exclusivement sur la base de constatations médicales (ATF 115 V 147 consid. 1 ; ATF 113 V 218 consid. 4b ; RAMA 2004 p. 415 ; arrêt du Tribunal fédéral des assurances U 134/03 du</w:t>
      </w:r>
    </w:p>
    <w:p>
      <w:r>
        <w:rPr>
          <w:b/>
        </w:rPr>
        <w:t>E. 12</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w:t>
      </w:r>
    </w:p>
    <w:p>
      <w:r>
        <w:t>A/372/2019 - 19/26 -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w:t>
      </w:r>
    </w:p>
    <w:p>
      <w:r>
        <w:t>A/372/2019 - 20/26 -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15</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w:t>
      </w:r>
    </w:p>
    <w:p>
      <w:r>
        <w:rPr>
          <w:b/>
        </w:rPr>
        <w:t>E. 16</w:t>
      </w:r>
    </w:p>
    <w:p>
      <w:r>
        <w:t>En l'espèce, dans sa décision litigieuse du 12 décembre 2018, l'intimée a octroyé au recourant le droit à une rente, calculée sur la base d’un degré d’invalidité de 61%. Elle a retenu, conformément aux conclusions des Drs P______ et Q______, que l’intéressé ne pouvait plus exercer son activité habituelle, mais qu’il demeurait apte à travailler à 50% dans une activité adaptée à ses limitations fonctionnelles.</w:t>
      </w:r>
    </w:p>
    <w:p>
      <w:r>
        <w:t>A/372/2019 - 21/26 -</w:t>
      </w:r>
    </w:p>
    <w:p>
      <w:r>
        <w:rPr>
          <w:b/>
        </w:rPr>
        <w:t>E. 17</w:t>
      </w:r>
    </w:p>
    <w:p>
      <w:r>
        <w:t>La chambre de céans constate tout d’abord que les rapports des Drs P______ et Q______ ont été établis en pleine connaissance de cause, sur la base du dossier complet du recourant qui contient de nombreuses appréciations fondées sur un examen personnel de l’intéressé, à l’instar des rapports des Drs L______, E______ et K______, de la Dresse O______ et des différents spécialistes œuvrant à la CRR. Les médecins-conseils de l’intimée ont étudié toutes les pièces médicales pertinentes, y compris les rapports radiologiques, ont tenu compte des plaintes du recourant et ont livré des conclusions motivées et convaincantes. Leurs rapports remplissent donc en principe les exigences jurisprudentielles pour se voir reconnaître une pleine valeur probante.</w:t>
      </w:r>
    </w:p>
    <w:p>
      <w:r>
        <w:rPr>
          <w:b/>
        </w:rPr>
        <w:t>E. 18</w:t>
      </w:r>
    </w:p>
    <w:p>
      <w:r>
        <w:t>a. En ce qui concerne les atteintes à la santé, les Drs P______ et Q______ ont pris en considération le diagnostic principal posé par les médecins de la CRR, soit une paraplégie incomplète AIS D de niveau sensitivomoteur D10 suite à une myélopathie du cône médullaire, avec des douleurs neurogènes et des troubles neurogènes passagers de la fonction vésicale, intestinale et sexuelle sur un polytraumatisme le 6 août 2014. Ils ont estimé que ces atteintes étaient compatibles avec l’exercice, à 50%, d’une activité essentiellement sédentaire et peu contraignante, ne requérant pas le port de charges supérieures à 10 kg, de marche en terrain accidenté, de longs déplacements et des stations statiques prolongées. b. Le recourant ne conteste ni les diagnostics posés ni les limitations fonctionnelles retenues. Il soutient en revanche que ses atteintes à la santé entrainent une totale incapacité de travail, quelle que soit l’activité envisagée. c. La chambre de céans rappelle que les conclusions des Drs P______ et Q______ sont notamment fondées sur les documents établis lors du dernier séjour du recourant à la CRR, où une mesure d’évaluation des capacités professionnelles a permis de constater qu’il était apte à travailler sur des périodes allant jusqu’à 4 heures consécutives dans des activités à faibles contraintes physiques et permettant l’alternance des positions. Le recourant ne fait valoir aucune argumentation objective à l’encontre de cette appréciation, se contentant de rappeler les douleurs persistantes qu’il avait signalées dès son arrivée aux ateliers. Or, ces douleurs, au demeurant soulagées par la prise de médicaments (cf. rapports de la CRR des 2 octobre 2015 et 10 août 2017), ont bien été prises en considération, puisque seule une activité permettant l’alternance des positions a été considérée comme adaptée compte tenu des douleurs relatées, cotées à 3/10 EVA au repos et à 7/10 EVA après 30-60 minutes de marche et 30 minutes de position statique assise (cf. rapport de physiothérapie du service de paraplégie de la CRR).</w:t>
      </w:r>
    </w:p>
    <w:p>
      <w:r>
        <w:t>A/372/2019 - 22/26 - On perçoit d’ailleurs mal les raisons pour lesquelles le recourant ne pourrait pas exercer une activité peu contraignante et essentiellement sédentaire, sans port de charges lourdes et avec la possibilité de changer de positions. Il est notamment rappelé qu’il ne présente aucune restriction au niveau des membres supérieurs et qu’il souffre d’une paraplégie incomplète AIS D de niveau sensitivomoteur D10, ce qui signifie que les fonctions sensorielles et motrices sont conservées en dessous du niveau de lésion, et que la force des muscles-clés est suffisamment importante de sorte qu’elle peut être mise à contribution d’un point de vue fonctionnel (se mettre en position debout pour les transferts, éventuellement marcher avec des moyens auxiliaires, etc. ; cf. https://community.paraplegie.ch/fr/wiki-fr/corps- complications/lesions-de-la-moelle-epiniere-et-consequences). Il est indépendant pour tous les actes de la vie quotidienne, peut se déplacer sans moyens auxiliaires chez lui, à l’aide de cannes et d’une attelle sur de courtes et moyennes distances, et peut monter et descendre des escaliers à l’aide de ses cannes. Il a repris la conduite de sa moto et n’utilise un fauteuil roulant manuel que pour parcourir de longues distances ou en cas de fatigue. Comme déjà rappelé, ses douleurs sont soulagées par le traitement médicamenteux. Enfin, les rapports des Drs L______ et K______, lesquels ont régulièrement rapporté une évolution et un pronostic favorables, ne font état d’aucun élément qui s’opposerait à la reprise d’une activité professionnelle adaptée à 50%. d. Partant, en l’absence de tout indice susceptible de remettre en cause les conclusions des médecins-conseils de l’intimée, leur appréciation de la capacité de travail résiduelle dans une activité adaptée aux limitations fonctionnelles retenues peut être confirmée.</w:t>
      </w:r>
    </w:p>
    <w:p>
      <w:r>
        <w:rPr>
          <w:b/>
        </w:rPr>
        <w:t>E. 19</w:t>
      </w:r>
    </w:p>
    <w:p>
      <w:r>
        <w:t>a. Le recourant allègue souffrir d’un état dépressif persistant en lien avec le sinistre assuré, et ce sans produire la moindre pièce à l’appui de ses allégations et sans préciser la date d’apparition de ce trouble psychique. b. La chambre de céans rappelle que l’intéressé a consulté la Dresse M______ entre le 16 mars et le 24 mai 2016. Cette psychiatre a uniquement diagnostiqué des antécédents de troubles de l’adaptation, avec une perturbation des émotions, une anxiété et une humeur dépressive, et précisé que le patient était stable, même si une aggravation émotionnelle pouvait être envisagée (cf. rapport du 19 juillet 2016). Au mois d’août 2016, le recourant a indiqué à un collaborateur de l’intimée que le suivi psychologique avait été organisé à la demande de la CRR, mais qu’il y avait mis un terme après deux séances, car il n’en avait pas besoin (cf. procès-verbal de l’intimée). Dans ces circonstances, les conclusions du Dr N______, selon lesquelles il n’existait alors aucune pathologie active sur le plan psychiatrique (cf. rapport du</w:t>
      </w:r>
    </w:p>
    <w:p>
      <w:r>
        <w:rPr>
          <w:b/>
        </w:rPr>
        <w:t>E. 21</w:t>
      </w:r>
    </w:p>
    <w:p>
      <w:r>
        <w:t>Partant, la chambre de céans tiendra pour établi, au degré de la vraisemblance prépondérante requis, que le recourant dispose d’une capacité de travail résiduelle de 50% dans une activité adaptée à ses atteintes somatiques.</w:t>
      </w:r>
    </w:p>
    <w:p>
      <w:r>
        <w:rPr>
          <w:b/>
        </w:rPr>
        <w:t>E. 22</w:t>
      </w:r>
    </w:p>
    <w:p>
      <w:r>
        <w:t>a. S’agissant du degré d’invalidité, bien que le recourant ne fasse valoir aucun grief à l’encontre du calcul de l’intimée, la chambre de céans constate que celui-ci est critiquable à plusieurs égards. b. Concernant le revenu avec invalidité, quatre des cinq DPT retenus par l’intimée ne sont clairement pas adaptés à la situation du recourant puisqu’ils précisent qu’une activité à temps partiel n’est pas possible (DPT n° 3745, n° 5787, n° 362411 et n° 7237). De plus, quatre DPT portent sur des postes situés dans le canton de Vaud et éloignés de Genève (96 km pour DPT n° 3745, 40 km pour le DPT n° 5787, 63 km pour le DPT n° 362411, et 59 km pour le DPT n° 7237), ce qui obligerait le recourant à se déplacer en fauteuil roulant et n’apparait ainsi pas exigible. Il sera également relevé que le salaire d’invalide a été fixé à CHF 27'858.-, ce qui correspond au 50% du salaire moyen de CHF 55'715.60 selon les DPT. Il s’agit</w:t>
      </w:r>
    </w:p>
    <w:p>
      <w:r>
        <w:t>A/372/2019 - 24/26 - toutefois des DPT de 2017, alors que le droit à la rente du recourant a pris naissance le 1er mars 2018. L’intimée aurait donc dû indexer le revenu retenu à l'évolution des salaires. c. Quant au revenu sans invalidité (CHF 72'061.-), il ressort du dossier de l’intimée que cette dernière s’est fondée sur les salaires perçus durant l’année avant le sinistre pour l’activité auprès de C______ SA (CHF 18'517.-) et sur le salaire horaire convenu auprès de D______ SA dès le 15 mai 2014, converti sur une année (CHF 51'991.-). La somme de ces deux montants s’élève toutefois à CHF 70'508.- et l’évolution des salaires qui semble donc avoir été prise en compte est difficilement vérifiable, en l’absence de toute explication. De surcroît, l’intimée a retenu un salaire horaire de CHF 22.73 pour D______ SA et une indemnité de 8.30%, alors que le contrat du recourant mentionne clairement que des indemnités pour jours fériés, pour vacances et un 13ème salaire s’ajoutent au revenu de base de CHF 22.73, et que le salaire horaire s’élève à CHF 28.09. Cet employeur a ainsi indiqué un salaire horaire de CHF 28.20 pour 2017.</w:t>
      </w:r>
    </w:p>
    <w:p>
      <w:r>
        <w:rPr>
          <w:b/>
        </w:rPr>
        <w:t>E. 23</w:t>
      </w:r>
    </w:p>
    <w:p>
      <w:r>
        <w:t>Partant, le degré d’invalidité de 61% retenu par l’intimée ne peut en l’état être confirmé et la décision entreprise doit être annulée sur ce point. Dans la mesure où les parties ne se sont pas du tout prononcées sur l’application des ESS, la chambre de céans renverra la cause à l’intimée pour qu’elle complète son enquête économique et procède à une nouvelle comparaison des revenus.</w:t>
      </w:r>
    </w:p>
    <w:p>
      <w:r>
        <w:rPr>
          <w:b/>
        </w:rPr>
        <w:t>E. 24</w:t>
      </w:r>
    </w:p>
    <w:p>
      <w:r>
        <w:t>a. S’agissant de l’indemnité pour atteinte à l'intégrité, l’intimée a reconnu au recourant un taux de 30%, sur la base des conclusions des rapports des Drs P______ et Q______. Le premier a appliqué la table n° 21.2 par analogie au diagnostic de paraplégie incomplète AIS D de niveau sensitivomoteur D10, liée à une myélopathie du cône médullaire sur un polytraumatisme le 6 août 2014, avec des douleurs neurogènes et des troubles neurogènes passagers de la fonction vésicale, intestinale et sexuelle (cf. avis du 30 janvier 2017). Le second a précisé qu’une application schématique de la table 21 pour atteinte à l’intégrité en cas de lésions médullaires pour un stade AIS D n’était pas appropriée, car le jambier et le fléchisseur des orteils gauches étaient les seuls muscles atteints au niveau des membres inférieurs, ce qui représentait le 20% des muscles clés de la classification ASIA (table 21.4). La paraplégie incomplète à prédominance gauche présentée par le recourant, avec une légère boiterie compensée par une attelle anti- step, correspondait à un stade AIS D-E. Étant donné que l’atteinte motrice de l’intéressé était moins grave qu’une paralysie complète du nerf sciatique et plus grave qu’une paralysie du nerf péronier, le taux se situait entre les 10% prévus pour une paralysie du nerf péronier et les 30% prévus pour une paralysie du nerf</w:t>
      </w:r>
    </w:p>
    <w:p>
      <w:r>
        <w:t>A/372/2019 - 25/26 - sciatique. En tenant compte des symptômes associés, soit les douleurs neurogènes, les troubles neurogènes passagers de la fonction vésicale, intestinale et sexuelle, le taux de 30% paraissait justifié (cf. appréciation du 11 décembre 2018). b. Le recourant pour sa part estime que sa « paraplégie irréversible » justifierait un taux de 100% (cf. écriture du 15 mai 2019). c. La chambre de céans observe que le taux requis par le recourant, lequel ne se prévaut d’aucune argumentation médicale, correspond à une tétraplégie ASIA de type A-C. Or, l’intéressé souffre d’une paraplégie incomplète de type ASIA D de niveau sensitivomoteur D10. Il ne présente aucune limitation au niveau des membres supérieurs, peut marcher sur de courtes et moyennes distances en utilisant son attelle et des cannes, n’a recourt à un fauteuil roulant que pour les longues distances ou en cas de fatigue, et demeure totalement indépendant pour tous les actes de la vie quotidienne. Sa situation ne saurait être assimilée à celle d’une personne tétraplégique. Aucun indice ne justifie de s’écarter de l’appréciation des Drs P______ et Q______, lesquels ont rédigé leurs avis en pleine connaissance du dossier et ont dûment motivé leurs conclusions.</w:t>
      </w:r>
    </w:p>
    <w:p>
      <w:r>
        <w:rPr>
          <w:b/>
        </w:rPr>
        <w:t>E. 25</w:t>
      </w:r>
    </w:p>
    <w:p>
      <w:r>
        <w:t>En l'absence de tout élément de nature à remettre en cause le bien-fondé des conclusions convergentes des Drs P______ et Q______, le taux de 30% retenu par l’intimée peut être confirmé.</w:t>
      </w:r>
    </w:p>
    <w:p>
      <w:r>
        <w:rPr>
          <w:b/>
        </w:rPr>
        <w:t>E. 26</w:t>
      </w:r>
    </w:p>
    <w:p>
      <w:r>
        <w:t>Eu égard à tout ce qui précède, le recours sera très partiellement admis et la décision entreprise annulée en ce qui concerne le calcul du degré d’invalidité. Le dossier sera donc renvoyé à l’intimée pour nouveau calcul du droit à la rente, puis nouvelle décision motivée.</w:t>
      </w:r>
    </w:p>
    <w:p>
      <w:r>
        <w:rPr>
          <w:b/>
        </w:rPr>
        <w:t>E. 27</w:t>
      </w:r>
    </w:p>
    <w:p>
      <w:r>
        <w:t>Vu l'issue du litige, une indemnité de CHF 800.- sera accordée au recourant à titre de participation à ses frais et dépens (art. 61 let. g LPGA ; art. 6 du règlement sur les frais, émoluments et indemnités en matière administrative du 30 juillet 1986 [RFPA - E 5 10.03]), à charge de l'intimé.</w:t>
      </w:r>
    </w:p>
    <w:p>
      <w:r>
        <w:t>A/372/2019 - 26/26 -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