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ATAS/417/2012 vom 8. November 2011</w:t>
      </w:r>
    </w:p>
    <w:p>
      <w:r>
        <w:t>GE Cour de justice, 2011-11-08, FR</w:t>
      </w:r>
    </w:p>
    <w:p>
      <w:r>
        <w:rPr>
          <w:b/>
        </w:rPr>
        <w:t xml:space="preserve">Quelle: </w:t>
      </w:r>
      <w:r>
        <w:t>https://mcp.opencaselaw.ch/entscheid/ge_gerichte_ATAS_417_2012</w:t>
      </w:r>
    </w:p>
    <w:p>
      <w:r>
        <w:t>FR: GE_GERICHTE ATAS/417/2012 du 8 novembre 2011</w:t>
      </w:r>
    </w:p>
    <w:p>
      <w:r>
        <w:t>IT: GE_GERICHTE ATAS/417/2012 del 8 novembre 2011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de la demande.</w:t>
      </w:r>
    </w:p>
    <w:p>
      <w:r>
        <w:rPr>
          <w:b/>
        </w:rPr>
        <w:t>E. 2</w:t>
      </w:r>
    </w:p>
    <w:p>
      <w:r>
        <w:t>Met un émolument de 50 fr. à la charge des parties à raison de la moitié chacune.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